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楷体" w:hAnsi="楷体" w:eastAsia="楷体" w:cs="楷体"/>
          <w:b/>
          <w:color w:val="000000"/>
          <w:kern w:val="0"/>
          <w:sz w:val="28"/>
          <w:szCs w:val="28"/>
          <w:lang w:val="en-US" w:eastAsia="zh-CN" w:bidi="ar"/>
        </w:rPr>
      </w:pPr>
    </w:p>
    <w:p>
      <w:pPr>
        <w:keepNext w:val="0"/>
        <w:keepLines w:val="0"/>
        <w:widowControl/>
        <w:suppressLineNumbers w:val="0"/>
        <w:jc w:val="center"/>
        <w:rPr>
          <w:rFonts w:hint="eastAsia" w:ascii="楷体" w:hAnsi="楷体" w:eastAsia="楷体" w:cs="楷体"/>
          <w:b/>
          <w:color w:val="000000"/>
          <w:kern w:val="0"/>
          <w:sz w:val="28"/>
          <w:szCs w:val="28"/>
          <w:lang w:val="en-US" w:eastAsia="zh-CN" w:bidi="ar"/>
        </w:rPr>
      </w:pPr>
      <w:r>
        <w:rPr>
          <w:sz w:val="28"/>
        </w:rPr>
        <mc:AlternateContent>
          <mc:Choice Requires="wps">
            <w:drawing>
              <wp:anchor distT="0" distB="0" distL="114300" distR="114300" simplePos="0" relativeHeight="251662336" behindDoc="0" locked="0" layoutInCell="1" allowOverlap="1">
                <wp:simplePos x="0" y="0"/>
                <wp:positionH relativeFrom="column">
                  <wp:posOffset>488950</wp:posOffset>
                </wp:positionH>
                <wp:positionV relativeFrom="paragraph">
                  <wp:posOffset>160020</wp:posOffset>
                </wp:positionV>
                <wp:extent cx="5295265" cy="1689100"/>
                <wp:effectExtent l="0" t="0" r="635" b="6350"/>
                <wp:wrapNone/>
                <wp:docPr id="6" name="文本框 6"/>
                <wp:cNvGraphicFramePr/>
                <a:graphic xmlns:a="http://schemas.openxmlformats.org/drawingml/2006/main">
                  <a:graphicData uri="http://schemas.microsoft.com/office/word/2010/wordprocessingShape">
                    <wps:wsp>
                      <wps:cNvSpPr txBox="1"/>
                      <wps:spPr>
                        <a:xfrm>
                          <a:off x="1525905" y="1412875"/>
                          <a:ext cx="5295265" cy="168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pPr>
                            <w:r>
                              <w:rPr>
                                <w:rFonts w:ascii="楷体" w:hAnsi="楷体" w:eastAsia="楷体" w:cs="楷体"/>
                                <w:b/>
                                <w:color w:val="000000"/>
                                <w:kern w:val="0"/>
                                <w:sz w:val="52"/>
                                <w:szCs w:val="52"/>
                                <w:shd w:val="clear" w:color="auto" w:fill="auto"/>
                                <w:lang w:val="en-US" w:eastAsia="zh-CN" w:bidi="ar"/>
                              </w:rPr>
                              <w:t>便携式潜水员</w:t>
                            </w:r>
                            <w:r>
                              <w:rPr>
                                <w:rFonts w:ascii="楷体" w:hAnsi="楷体" w:eastAsia="楷体" w:cs="楷体"/>
                                <w:b/>
                                <w:color w:val="000000"/>
                                <w:kern w:val="0"/>
                                <w:sz w:val="52"/>
                                <w:szCs w:val="52"/>
                                <w:lang w:val="en-US" w:eastAsia="zh-CN" w:bidi="ar"/>
                              </w:rPr>
                              <w:t>供气控制系统说明书</w:t>
                            </w:r>
                          </w:p>
                          <w:p>
                            <w:pPr>
                              <w:keepNext w:val="0"/>
                              <w:keepLines w:val="0"/>
                              <w:widowControl/>
                              <w:suppressLineNumbers w:val="0"/>
                              <w:jc w:val="center"/>
                              <w:rPr>
                                <w:rFonts w:hint="eastAsia" w:ascii="楷体" w:hAnsi="楷体" w:eastAsia="楷体" w:cs="楷体"/>
                                <w:b/>
                                <w:color w:val="000000"/>
                                <w:kern w:val="0"/>
                                <w:sz w:val="28"/>
                                <w:szCs w:val="28"/>
                                <w:lang w:val="en-US" w:eastAsia="zh-CN" w:bidi="ar"/>
                              </w:rPr>
                            </w:pPr>
                            <w:r>
                              <w:rPr>
                                <w:rFonts w:hint="eastAsia" w:ascii="楷体" w:hAnsi="楷体" w:eastAsia="楷体" w:cs="楷体"/>
                                <w:b/>
                                <w:color w:val="000000"/>
                                <w:kern w:val="0"/>
                                <w:sz w:val="28"/>
                                <w:szCs w:val="28"/>
                                <w:lang w:val="en-US" w:eastAsia="zh-CN" w:bidi="ar"/>
                              </w:rPr>
                              <w:t>（HT-9133型号）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12.6pt;height:133pt;width:416.95pt;z-index:251662336;mso-width-relative:page;mso-height-relative:page;" fillcolor="#FFFFFF [3201]" filled="t" stroked="f" coordsize="21600,21600" o:gfxdata="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1nI/zU&#10;AAAACQEAAA8AAAAAAAAAAQAgAAAAIgAAAGRycy9kb3ducmV2LnhtbFBLAQIUABQAAAAIAIdO4kBA&#10;wpSHXQIAAJwEAAAOAAAAAAAAAAEAIAAAACMBAABkcnMvZTJvRG9jLnhtbFBLBQYAAAAABgAGAFkB&#10;AADyBQAAAAA=&#10;">
                <v:fill on="t" focussize="0,0"/>
                <v:stroke on="f" weight="0.5pt"/>
                <v:imagedata o:title=""/>
                <o:lock v:ext="edit" aspectratio="f"/>
                <v:textbox>
                  <w:txbxContent>
                    <w:p>
                      <w:pPr>
                        <w:keepNext w:val="0"/>
                        <w:keepLines w:val="0"/>
                        <w:widowControl/>
                        <w:suppressLineNumbers w:val="0"/>
                        <w:jc w:val="center"/>
                      </w:pPr>
                      <w:r>
                        <w:rPr>
                          <w:rFonts w:ascii="楷体" w:hAnsi="楷体" w:eastAsia="楷体" w:cs="楷体"/>
                          <w:b/>
                          <w:color w:val="000000"/>
                          <w:kern w:val="0"/>
                          <w:sz w:val="52"/>
                          <w:szCs w:val="52"/>
                          <w:shd w:val="clear" w:color="auto" w:fill="auto"/>
                          <w:lang w:val="en-US" w:eastAsia="zh-CN" w:bidi="ar"/>
                        </w:rPr>
                        <w:t>便携式潜水员</w:t>
                      </w:r>
                      <w:r>
                        <w:rPr>
                          <w:rFonts w:ascii="楷体" w:hAnsi="楷体" w:eastAsia="楷体" w:cs="楷体"/>
                          <w:b/>
                          <w:color w:val="000000"/>
                          <w:kern w:val="0"/>
                          <w:sz w:val="52"/>
                          <w:szCs w:val="52"/>
                          <w:lang w:val="en-US" w:eastAsia="zh-CN" w:bidi="ar"/>
                        </w:rPr>
                        <w:t>供气控制系统说明书</w:t>
                      </w:r>
                    </w:p>
                    <w:p>
                      <w:pPr>
                        <w:keepNext w:val="0"/>
                        <w:keepLines w:val="0"/>
                        <w:widowControl/>
                        <w:suppressLineNumbers w:val="0"/>
                        <w:jc w:val="center"/>
                        <w:rPr>
                          <w:rFonts w:hint="eastAsia" w:ascii="楷体" w:hAnsi="楷体" w:eastAsia="楷体" w:cs="楷体"/>
                          <w:b/>
                          <w:color w:val="000000"/>
                          <w:kern w:val="0"/>
                          <w:sz w:val="28"/>
                          <w:szCs w:val="28"/>
                          <w:lang w:val="en-US" w:eastAsia="zh-CN" w:bidi="ar"/>
                        </w:rPr>
                      </w:pPr>
                      <w:r>
                        <w:rPr>
                          <w:rFonts w:hint="eastAsia" w:ascii="楷体" w:hAnsi="楷体" w:eastAsia="楷体" w:cs="楷体"/>
                          <w:b/>
                          <w:color w:val="000000"/>
                          <w:kern w:val="0"/>
                          <w:sz w:val="28"/>
                          <w:szCs w:val="28"/>
                          <w:lang w:val="en-US" w:eastAsia="zh-CN" w:bidi="ar"/>
                        </w:rPr>
                        <w:t>（HT-9133型号）</w:t>
                      </w:r>
                    </w:p>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1196975</wp:posOffset>
                </wp:positionH>
                <wp:positionV relativeFrom="paragraph">
                  <wp:posOffset>7628890</wp:posOffset>
                </wp:positionV>
                <wp:extent cx="3608070" cy="520700"/>
                <wp:effectExtent l="0" t="0" r="11430" b="12700"/>
                <wp:wrapNone/>
                <wp:docPr id="7" name="文本框 7"/>
                <wp:cNvGraphicFramePr/>
                <a:graphic xmlns:a="http://schemas.openxmlformats.org/drawingml/2006/main">
                  <a:graphicData uri="http://schemas.microsoft.com/office/word/2010/wordprocessingShape">
                    <wps:wsp>
                      <wps:cNvSpPr txBox="1"/>
                      <wps:spPr>
                        <a:xfrm>
                          <a:off x="1894205" y="8827135"/>
                          <a:ext cx="3608070" cy="520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YANTAI HOPETEK ELECTRONIC CO.,LTD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25pt;margin-top:600.7pt;height:41pt;width:284.1pt;z-index:251663360;mso-width-relative:page;mso-height-relative:page;" fillcolor="#FFFFFF [3201]" filled="t" stroked="f" coordsize="21600,21600" o:gfxdata="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j3&#10;n4bXAAAADQEAAA8AAAAAAAAAAQAgAAAAIgAAAGRycy9kb3ducmV2LnhtbFBLAQIUABQAAAAIAIdO&#10;4kCWN7pOXQIAAJsEAAAOAAAAAAAAAAEAIAAAACYBAABkcnMvZTJvRG9jLnhtbFBLBQYAAAAABgAG&#10;AFkBAAD1BQAAAAA=&#10;">
                <v:fill on="t" focussize="0,0"/>
                <v:stroke on="f" weight="0.5pt"/>
                <v:imagedata o:title=""/>
                <o:lock v:ext="edit" aspectratio="f"/>
                <v:textbox>
                  <w:txbxContent>
                    <w:p>
                      <w:pPr>
                        <w:keepNext w:val="0"/>
                        <w:keepLines w:val="0"/>
                        <w:widowControl/>
                        <w:suppressLineNumbers w:val="0"/>
                        <w:jc w:val="center"/>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YANTAI HOPETEK ELECTRONIC CO.,LTD</w:t>
                      </w:r>
                    </w:p>
                    <w:p/>
                  </w:txbxContent>
                </v:textbox>
              </v:shape>
            </w:pict>
          </mc:Fallback>
        </mc:AlternateContent>
      </w:r>
      <w:r>
        <w:rPr>
          <w:rFonts w:hint="eastAsia" w:ascii="楷体" w:hAnsi="楷体" w:eastAsia="楷体" w:cs="楷体"/>
          <w:b/>
          <w:color w:val="000000"/>
          <w:kern w:val="0"/>
          <w:sz w:val="28"/>
          <w:szCs w:val="28"/>
          <w:lang w:val="en-US" w:eastAsia="zh-CN" w:bidi="ar"/>
        </w:rPr>
        <w:drawing>
          <wp:inline distT="0" distB="0" distL="114300" distR="114300">
            <wp:extent cx="5965825" cy="8032115"/>
            <wp:effectExtent l="0" t="0" r="15875" b="6985"/>
            <wp:docPr id="5" name="图片 5" descr="f581d61baa4c57755d7eba7d118b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581d61baa4c57755d7eba7d118b21a"/>
                    <pic:cNvPicPr>
                      <a:picLocks noChangeAspect="1"/>
                    </pic:cNvPicPr>
                  </pic:nvPicPr>
                  <pic:blipFill>
                    <a:blip r:embed="rId6"/>
                    <a:stretch>
                      <a:fillRect/>
                    </a:stretch>
                  </pic:blipFill>
                  <pic:spPr>
                    <a:xfrm>
                      <a:off x="0" y="0"/>
                      <a:ext cx="5965825" cy="8032115"/>
                    </a:xfrm>
                    <a:prstGeom prst="rect">
                      <a:avLst/>
                    </a:prstGeom>
                  </pic:spPr>
                </pic:pic>
              </a:graphicData>
            </a:graphic>
          </wp:inline>
        </w:drawing>
      </w:r>
    </w:p>
    <w:p>
      <w:pPr>
        <w:keepNext w:val="0"/>
        <w:keepLines w:val="0"/>
        <w:widowControl/>
        <w:suppressLineNumbers w:val="0"/>
        <w:jc w:val="center"/>
        <w:rPr>
          <w:rFonts w:hint="eastAsia" w:ascii="楷体" w:hAnsi="楷体" w:eastAsia="楷体" w:cs="楷体"/>
          <w:b/>
          <w:color w:val="000000"/>
          <w:kern w:val="0"/>
          <w:sz w:val="28"/>
          <w:szCs w:val="28"/>
          <w:lang w:val="en-US" w:eastAsia="zh-CN" w:bidi="ar"/>
        </w:rPr>
      </w:pPr>
    </w:p>
    <w:tbl>
      <w:tblPr>
        <w:tblStyle w:val="15"/>
        <w:tblW w:w="8812" w:type="dxa"/>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2" w:type="dxa"/>
            <w:tcBorders>
              <w:top w:val="single" w:color="auto" w:sz="18" w:space="0"/>
              <w:left w:val="single" w:color="auto" w:sz="18" w:space="0"/>
              <w:bottom w:val="single" w:color="auto" w:sz="18" w:space="0"/>
              <w:right w:val="single" w:color="auto" w:sz="18" w:space="0"/>
            </w:tcBorders>
          </w:tcPr>
          <w:p>
            <w:pPr>
              <w:keepNext w:val="0"/>
              <w:keepLines w:val="0"/>
              <w:widowControl/>
              <w:suppressLineNumbers w:val="0"/>
              <w:jc w:val="left"/>
              <w:rPr>
                <w:b w:val="0"/>
                <w:bCs w:val="0"/>
                <w:sz w:val="21"/>
                <w:szCs w:val="21"/>
              </w:rPr>
            </w:pPr>
            <w:r>
              <w:rPr>
                <w:rFonts w:ascii="黑体" w:hAnsi="宋体" w:eastAsia="黑体" w:cs="黑体"/>
                <w:b w:val="0"/>
                <w:bCs w:val="0"/>
                <w:color w:val="000000"/>
                <w:kern w:val="0"/>
                <w:sz w:val="21"/>
                <w:szCs w:val="21"/>
                <w:lang w:val="en-US" w:eastAsia="zh-CN" w:bidi="ar"/>
              </w:rPr>
              <w:t>声明：</w:t>
            </w:r>
          </w:p>
          <w:p>
            <w:pPr>
              <w:keepNext w:val="0"/>
              <w:keepLines w:val="0"/>
              <w:widowControl/>
              <w:suppressLineNumbers w:val="0"/>
              <w:ind w:firstLine="420" w:firstLineChars="200"/>
              <w:jc w:val="left"/>
              <w:rPr>
                <w:b w:val="0"/>
                <w:bCs w:val="0"/>
                <w:sz w:val="21"/>
                <w:szCs w:val="21"/>
              </w:rPr>
            </w:pPr>
            <w:r>
              <w:rPr>
                <w:rFonts w:hint="eastAsia" w:ascii="黑体" w:hAnsi="宋体" w:eastAsia="黑体" w:cs="黑体"/>
                <w:b w:val="0"/>
                <w:bCs w:val="0"/>
                <w:color w:val="000000"/>
                <w:kern w:val="0"/>
                <w:sz w:val="21"/>
                <w:szCs w:val="21"/>
                <w:lang w:val="en-US" w:eastAsia="zh-CN" w:bidi="ar"/>
              </w:rPr>
              <w:t>非常感谢您购买我公司的产品，如果您有什么疑问或需要请随时联系我们。</w:t>
            </w:r>
          </w:p>
          <w:p>
            <w:pPr>
              <w:keepNext w:val="0"/>
              <w:keepLines w:val="0"/>
              <w:widowControl/>
              <w:suppressLineNumbers w:val="0"/>
              <w:ind w:firstLine="420" w:firstLineChars="200"/>
              <w:jc w:val="left"/>
              <w:rPr>
                <w:b w:val="0"/>
                <w:bCs w:val="0"/>
                <w:sz w:val="21"/>
                <w:szCs w:val="21"/>
              </w:rPr>
            </w:pPr>
            <w:r>
              <w:rPr>
                <w:rFonts w:hint="eastAsia" w:ascii="黑体" w:hAnsi="宋体" w:eastAsia="黑体" w:cs="黑体"/>
                <w:b w:val="0"/>
                <w:bCs w:val="0"/>
                <w:color w:val="000000"/>
                <w:kern w:val="0"/>
                <w:sz w:val="21"/>
                <w:szCs w:val="21"/>
                <w:lang w:val="en-US" w:eastAsia="zh-CN" w:bidi="ar"/>
              </w:rPr>
              <w:t>本手册为便携式双路空气潜水供气控制箱使用手册，支持功能由于型号不同而有所区别，</w:t>
            </w:r>
          </w:p>
          <w:p>
            <w:pPr>
              <w:keepNext w:val="0"/>
              <w:keepLines w:val="0"/>
              <w:widowControl/>
              <w:suppressLineNumbers w:val="0"/>
              <w:jc w:val="left"/>
              <w:rPr>
                <w:b w:val="0"/>
                <w:bCs w:val="0"/>
                <w:sz w:val="21"/>
                <w:szCs w:val="21"/>
              </w:rPr>
            </w:pPr>
            <w:r>
              <w:rPr>
                <w:rFonts w:hint="eastAsia" w:ascii="黑体" w:hAnsi="宋体" w:eastAsia="黑体" w:cs="黑体"/>
                <w:b w:val="0"/>
                <w:bCs w:val="0"/>
                <w:color w:val="000000"/>
                <w:kern w:val="0"/>
                <w:sz w:val="21"/>
                <w:szCs w:val="21"/>
                <w:lang w:val="en-US" w:eastAsia="zh-CN" w:bidi="ar"/>
              </w:rPr>
              <w:t>请以实物为准。</w:t>
            </w:r>
          </w:p>
          <w:p>
            <w:pPr>
              <w:keepNext w:val="0"/>
              <w:keepLines w:val="0"/>
              <w:widowControl/>
              <w:suppressLineNumbers w:val="0"/>
              <w:ind w:firstLine="420" w:firstLineChars="200"/>
              <w:jc w:val="left"/>
              <w:rPr>
                <w:b w:val="0"/>
                <w:bCs w:val="0"/>
                <w:sz w:val="21"/>
                <w:szCs w:val="21"/>
              </w:rPr>
            </w:pPr>
            <w:r>
              <w:rPr>
                <w:rFonts w:hint="eastAsia" w:ascii="黑体" w:hAnsi="宋体" w:eastAsia="黑体" w:cs="黑体"/>
                <w:b w:val="0"/>
                <w:bCs w:val="0"/>
                <w:color w:val="000000"/>
                <w:kern w:val="0"/>
                <w:sz w:val="21"/>
                <w:szCs w:val="21"/>
                <w:lang w:val="en-US" w:eastAsia="zh-CN" w:bidi="ar"/>
              </w:rPr>
              <w:t>本手册旨在供您作为操作和查询相关参数时的参考工具。您可以在本手册中找到有关功能</w:t>
            </w:r>
          </w:p>
          <w:p>
            <w:pPr>
              <w:keepNext w:val="0"/>
              <w:keepLines w:val="0"/>
              <w:widowControl/>
              <w:suppressLineNumbers w:val="0"/>
              <w:jc w:val="left"/>
              <w:rPr>
                <w:b w:val="0"/>
                <w:bCs w:val="0"/>
                <w:sz w:val="21"/>
                <w:szCs w:val="21"/>
              </w:rPr>
            </w:pPr>
            <w:r>
              <w:rPr>
                <w:rFonts w:hint="eastAsia" w:ascii="黑体" w:hAnsi="宋体" w:eastAsia="黑体" w:cs="黑体"/>
                <w:b w:val="0"/>
                <w:bCs w:val="0"/>
                <w:color w:val="000000"/>
                <w:kern w:val="0"/>
                <w:sz w:val="21"/>
                <w:szCs w:val="21"/>
                <w:lang w:val="en-US" w:eastAsia="zh-CN" w:bidi="ar"/>
              </w:rPr>
              <w:t>和参数信息和快速操作指南。在安装和使用产品之前，请充分了解本手册中的信息。</w:t>
            </w:r>
          </w:p>
          <w:p>
            <w:pPr>
              <w:keepNext w:val="0"/>
              <w:keepLines w:val="0"/>
              <w:widowControl/>
              <w:suppressLineNumbers w:val="0"/>
              <w:ind w:firstLine="420" w:firstLineChars="200"/>
              <w:jc w:val="left"/>
              <w:rPr>
                <w:b w:val="0"/>
                <w:bCs w:val="0"/>
                <w:sz w:val="21"/>
                <w:szCs w:val="21"/>
              </w:rPr>
            </w:pPr>
            <w:r>
              <w:rPr>
                <w:rFonts w:hint="eastAsia" w:ascii="黑体" w:hAnsi="宋体" w:eastAsia="黑体" w:cs="黑体"/>
                <w:b w:val="0"/>
                <w:bCs w:val="0"/>
                <w:color w:val="000000"/>
                <w:kern w:val="0"/>
                <w:sz w:val="21"/>
                <w:szCs w:val="21"/>
                <w:lang w:val="en-US" w:eastAsia="zh-CN" w:bidi="ar"/>
              </w:rPr>
              <w:t>本说明书仅介绍供气控制箱的操作使用和维护保养，我们只推荐经过专业培训，具有水面</w:t>
            </w:r>
          </w:p>
          <w:p>
            <w:pPr>
              <w:keepNext w:val="0"/>
              <w:keepLines w:val="0"/>
              <w:widowControl/>
              <w:suppressLineNumbers w:val="0"/>
              <w:jc w:val="left"/>
              <w:rPr>
                <w:b w:val="0"/>
                <w:bCs w:val="0"/>
                <w:sz w:val="21"/>
                <w:szCs w:val="21"/>
              </w:rPr>
            </w:pPr>
            <w:r>
              <w:rPr>
                <w:rFonts w:hint="eastAsia" w:ascii="黑体" w:hAnsi="宋体" w:eastAsia="黑体" w:cs="黑体"/>
                <w:b w:val="0"/>
                <w:bCs w:val="0"/>
                <w:color w:val="000000"/>
                <w:kern w:val="0"/>
                <w:sz w:val="21"/>
                <w:szCs w:val="21"/>
                <w:lang w:val="en-US" w:eastAsia="zh-CN" w:bidi="ar"/>
              </w:rPr>
              <w:t>供气潜水等资质的潜水员或潜水监督使用该产品。</w:t>
            </w:r>
          </w:p>
          <w:p>
            <w:pPr>
              <w:keepNext w:val="0"/>
              <w:keepLines w:val="0"/>
              <w:widowControl/>
              <w:suppressLineNumbers w:val="0"/>
              <w:ind w:firstLine="420" w:firstLineChars="200"/>
              <w:jc w:val="left"/>
              <w:rPr>
                <w:b w:val="0"/>
                <w:bCs w:val="0"/>
                <w:sz w:val="21"/>
                <w:szCs w:val="21"/>
              </w:rPr>
            </w:pPr>
            <w:r>
              <w:rPr>
                <w:rFonts w:hint="eastAsia" w:ascii="黑体" w:hAnsi="宋体" w:eastAsia="黑体" w:cs="黑体"/>
                <w:b w:val="0"/>
                <w:bCs w:val="0"/>
                <w:color w:val="000000"/>
                <w:kern w:val="0"/>
                <w:sz w:val="21"/>
                <w:szCs w:val="21"/>
                <w:lang w:val="en-US" w:eastAsia="zh-CN" w:bidi="ar"/>
              </w:rPr>
              <w:t>我公司将根据产品功能的增强而更新本手册的内容，并将定期改进或更新本手册中描述的</w:t>
            </w:r>
          </w:p>
          <w:p>
            <w:pPr>
              <w:keepNext w:val="0"/>
              <w:keepLines w:val="0"/>
              <w:widowControl/>
              <w:suppressLineNumbers w:val="0"/>
              <w:jc w:val="left"/>
              <w:rPr>
                <w:rFonts w:hint="eastAsia" w:ascii="黑体" w:hAnsi="宋体" w:eastAsia="黑体" w:cs="黑体"/>
                <w:b w:val="0"/>
                <w:bCs w:val="0"/>
                <w:color w:val="000000"/>
                <w:kern w:val="0"/>
                <w:sz w:val="21"/>
                <w:szCs w:val="21"/>
                <w:lang w:val="en-US" w:eastAsia="zh-CN" w:bidi="ar"/>
              </w:rPr>
            </w:pPr>
            <w:r>
              <w:rPr>
                <w:rFonts w:hint="eastAsia" w:ascii="黑体" w:hAnsi="宋体" w:eastAsia="黑体" w:cs="黑体"/>
                <w:b w:val="0"/>
                <w:bCs w:val="0"/>
                <w:color w:val="000000"/>
                <w:kern w:val="0"/>
                <w:sz w:val="21"/>
                <w:szCs w:val="21"/>
                <w:lang w:val="en-US" w:eastAsia="zh-CN" w:bidi="ar"/>
              </w:rPr>
              <w:t>产品。更新的内容将会在新版本中加入，恕不另行通知。</w:t>
            </w:r>
          </w:p>
          <w:p>
            <w:pPr>
              <w:keepNext w:val="0"/>
              <w:keepLines w:val="0"/>
              <w:widowControl/>
              <w:suppressLineNumbers w:val="0"/>
              <w:jc w:val="left"/>
              <w:rPr>
                <w:rFonts w:ascii="黑体" w:hAnsi="宋体" w:eastAsia="黑体" w:cs="黑体"/>
                <w:b/>
                <w:bCs/>
                <w:color w:val="000000"/>
                <w:kern w:val="0"/>
                <w:sz w:val="20"/>
                <w:szCs w:val="20"/>
                <w:vertAlign w:val="baseline"/>
                <w:lang w:val="en-US" w:eastAsia="zh-CN" w:bidi="ar"/>
              </w:rPr>
            </w:pPr>
          </w:p>
        </w:tc>
      </w:tr>
    </w:tbl>
    <w:p>
      <w:pPr>
        <w:keepNext w:val="0"/>
        <w:keepLines w:val="0"/>
        <w:widowControl/>
        <w:suppressLineNumbers w:val="0"/>
        <w:jc w:val="center"/>
        <w:rPr>
          <w:rFonts w:ascii="楷体" w:hAnsi="楷体" w:eastAsia="楷体" w:cs="楷体"/>
          <w:b/>
          <w:color w:val="000000"/>
          <w:kern w:val="0"/>
          <w:sz w:val="28"/>
          <w:szCs w:val="28"/>
          <w:lang w:val="en-US" w:eastAsia="zh-CN" w:bidi="ar"/>
        </w:rPr>
      </w:pPr>
    </w:p>
    <w:p>
      <w:pPr>
        <w:keepNext w:val="0"/>
        <w:keepLines w:val="0"/>
        <w:widowControl/>
        <w:suppressLineNumbers w:val="0"/>
        <w:jc w:val="center"/>
        <w:rPr>
          <w:rFonts w:hint="default"/>
          <w:b/>
          <w:bCs w:val="0"/>
          <w:lang w:val="en-US"/>
        </w:rPr>
      </w:pPr>
      <w:r>
        <w:rPr>
          <w:rFonts w:ascii="楷体" w:hAnsi="楷体" w:eastAsia="楷体"/>
          <w:b/>
          <w:bCs/>
          <w:sz w:val="28"/>
        </w:rPr>
        <w:drawing>
          <wp:anchor distT="0" distB="0" distL="114300" distR="114300" simplePos="0" relativeHeight="251660288" behindDoc="0" locked="0" layoutInCell="1" allowOverlap="1">
            <wp:simplePos x="0" y="0"/>
            <wp:positionH relativeFrom="page">
              <wp:posOffset>4555490</wp:posOffset>
            </wp:positionH>
            <wp:positionV relativeFrom="page">
              <wp:posOffset>3554095</wp:posOffset>
            </wp:positionV>
            <wp:extent cx="354965" cy="320675"/>
            <wp:effectExtent l="0" t="0" r="6985" b="3175"/>
            <wp:wrapNone/>
            <wp:docPr id="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pic:cNvPicPr>
                      <a:picLocks noChangeAspect="1" noChangeArrowheads="1"/>
                    </pic:cNvPicPr>
                  </pic:nvPicPr>
                  <pic:blipFill>
                    <a:blip r:embed="rId7" cstate="print"/>
                    <a:srcRect/>
                    <a:stretch>
                      <a:fillRect/>
                    </a:stretch>
                  </pic:blipFill>
                  <pic:spPr>
                    <a:xfrm>
                      <a:off x="0" y="0"/>
                      <a:ext cx="354965" cy="320675"/>
                    </a:xfrm>
                    <a:prstGeom prst="rect">
                      <a:avLst/>
                    </a:prstGeom>
                    <a:noFill/>
                    <a:ln w="9525" cmpd="sng">
                      <a:noFill/>
                      <a:miter lim="800000"/>
                      <a:headEnd/>
                      <a:tailEnd/>
                    </a:ln>
                  </pic:spPr>
                </pic:pic>
              </a:graphicData>
            </a:graphic>
          </wp:anchor>
        </w:drawing>
      </w:r>
      <w:r>
        <w:rPr>
          <w:rFonts w:ascii="楷体" w:hAnsi="楷体" w:eastAsia="楷体" w:cs="楷体"/>
          <w:b/>
          <w:bCs w:val="0"/>
          <w:color w:val="000000"/>
          <w:kern w:val="0"/>
          <w:sz w:val="28"/>
          <w:szCs w:val="28"/>
          <w:lang w:val="en-US" w:eastAsia="zh-CN" w:bidi="ar"/>
        </w:rPr>
        <w:t>使用注意事项</w:t>
      </w:r>
      <w:r>
        <w:rPr>
          <w:rFonts w:hint="eastAsia" w:ascii="楷体" w:hAnsi="楷体" w:eastAsia="楷体" w:cs="楷体"/>
          <w:b/>
          <w:bCs w:val="0"/>
          <w:color w:val="000000"/>
          <w:kern w:val="0"/>
          <w:sz w:val="28"/>
          <w:szCs w:val="28"/>
          <w:lang w:val="en-US" w:eastAsia="zh-CN" w:bidi="ar"/>
        </w:rPr>
        <w:t xml:space="preserve"> </w:t>
      </w:r>
    </w:p>
    <w:p>
      <w:pPr>
        <w:keepNext w:val="0"/>
        <w:keepLines w:val="0"/>
        <w:widowControl/>
        <w:suppressLineNumbers w:val="0"/>
        <w:ind w:firstLine="480" w:firstLineChars="200"/>
        <w:jc w:val="left"/>
        <w:rPr>
          <w:sz w:val="24"/>
          <w:szCs w:val="24"/>
        </w:rPr>
      </w:pPr>
      <w:r>
        <w:rPr>
          <w:rFonts w:hint="eastAsia" w:ascii="楷体" w:hAnsi="楷体" w:eastAsia="楷体" w:cs="楷体"/>
          <w:color w:val="000000"/>
          <w:kern w:val="0"/>
          <w:sz w:val="24"/>
          <w:szCs w:val="24"/>
          <w:lang w:val="en-US" w:eastAsia="zh-CN" w:bidi="ar"/>
        </w:rPr>
        <w:t xml:space="preserve">此内容的目的是确保用户正确使用本产品，以避免危险或财产损失。在使用此产品之前，请认真阅读此说明手册并妥善保存以备日后参考。 </w:t>
      </w:r>
    </w:p>
    <w:p>
      <w:pPr>
        <w:keepNext w:val="0"/>
        <w:keepLines w:val="0"/>
        <w:widowControl/>
        <w:suppressLineNumbers w:val="0"/>
        <w:ind w:firstLine="480" w:firstLineChars="200"/>
        <w:jc w:val="left"/>
        <w:rPr>
          <w:sz w:val="24"/>
          <w:szCs w:val="24"/>
        </w:rPr>
      </w:pPr>
      <w:r>
        <w:rPr>
          <w:rFonts w:hint="eastAsia" w:ascii="楷体" w:hAnsi="楷体" w:eastAsia="楷体" w:cs="楷体"/>
          <w:color w:val="000000"/>
          <w:kern w:val="0"/>
          <w:sz w:val="24"/>
          <w:szCs w:val="24"/>
          <w:lang w:val="en-US" w:eastAsia="zh-CN" w:bidi="ar"/>
        </w:rPr>
        <w:t xml:space="preserve">1.在本产品安装使用中，必须严格遵守国家和使用地区的各项安全规程。 </w:t>
      </w:r>
    </w:p>
    <w:p>
      <w:pPr>
        <w:keepNext w:val="0"/>
        <w:keepLines w:val="0"/>
        <w:widowControl/>
        <w:suppressLineNumbers w:val="0"/>
        <w:ind w:left="479" w:leftChars="228" w:firstLine="0" w:firstLineChars="0"/>
        <w:jc w:val="left"/>
        <w:rPr>
          <w:sz w:val="24"/>
          <w:szCs w:val="24"/>
        </w:rPr>
      </w:pPr>
      <w:r>
        <w:rPr>
          <w:rFonts w:hint="eastAsia" w:ascii="楷体" w:hAnsi="楷体" w:eastAsia="楷体" w:cs="楷体"/>
          <w:color w:val="000000"/>
          <w:kern w:val="0"/>
          <w:sz w:val="24"/>
          <w:szCs w:val="24"/>
          <w:lang w:val="en-US" w:eastAsia="zh-CN" w:bidi="ar"/>
        </w:rPr>
        <w:t xml:space="preserve">2.如供气控制箱运输及使用过程中，有液体渗出、仪表破裂、管路受损等情况，请及时同经销商或生产厂家联系。 </w:t>
      </w:r>
    </w:p>
    <w:p>
      <w:pPr>
        <w:keepNext w:val="0"/>
        <w:keepLines w:val="0"/>
        <w:widowControl/>
        <w:suppressLineNumbers w:val="0"/>
        <w:ind w:left="479" w:leftChars="228" w:firstLine="0" w:firstLineChars="0"/>
        <w:jc w:val="left"/>
        <w:rPr>
          <w:sz w:val="24"/>
          <w:szCs w:val="24"/>
        </w:rPr>
      </w:pPr>
      <w:r>
        <w:rPr>
          <w:rFonts w:hint="eastAsia" w:ascii="楷体" w:hAnsi="楷体" w:eastAsia="楷体" w:cs="楷体"/>
          <w:color w:val="000000"/>
          <w:kern w:val="0"/>
          <w:sz w:val="24"/>
          <w:szCs w:val="24"/>
          <w:lang w:val="en-US" w:eastAsia="zh-CN" w:bidi="ar"/>
        </w:rPr>
        <w:t xml:space="preserve">3.如果产品工作不正常，请与购买设备的经销商或生产厂家联系，不要以任何方式拆卸或修改设备。（对未经认可的修改或维修所导致的问题，本公司不承担责任，并认为自动放弃免费质保）。 </w:t>
      </w:r>
    </w:p>
    <w:p>
      <w:pPr>
        <w:keepNext w:val="0"/>
        <w:keepLines w:val="0"/>
        <w:widowControl/>
        <w:suppressLineNumbers w:val="0"/>
        <w:ind w:left="479" w:leftChars="228" w:firstLine="0" w:firstLineChars="0"/>
        <w:jc w:val="left"/>
        <w:rPr>
          <w:sz w:val="24"/>
          <w:szCs w:val="24"/>
        </w:rPr>
      </w:pPr>
      <w:r>
        <w:rPr>
          <w:rFonts w:hint="eastAsia" w:ascii="楷体" w:hAnsi="楷体" w:eastAsia="楷体" w:cs="楷体"/>
          <w:color w:val="000000"/>
          <w:kern w:val="0"/>
          <w:sz w:val="24"/>
          <w:szCs w:val="24"/>
          <w:lang w:val="en-US" w:eastAsia="zh-CN" w:bidi="ar"/>
        </w:rPr>
        <w:t xml:space="preserve">4.请不要使物体摔落到设备上或大力震动设备，并使设备远离存在磁场干扰的地点。避免将设备安装到表面震动或容易受到冲击的地方（忽视此项可能会损坏设备）。 </w:t>
      </w:r>
    </w:p>
    <w:p>
      <w:pPr>
        <w:keepNext w:val="0"/>
        <w:keepLines w:val="0"/>
        <w:widowControl/>
        <w:suppressLineNumbers w:val="0"/>
        <w:ind w:firstLine="480" w:firstLineChars="200"/>
        <w:jc w:val="left"/>
        <w:rPr>
          <w:sz w:val="24"/>
          <w:szCs w:val="24"/>
        </w:rPr>
      </w:pPr>
      <w:r>
        <w:rPr>
          <w:rFonts w:hint="eastAsia" w:ascii="楷体" w:hAnsi="楷体" w:eastAsia="楷体" w:cs="楷体"/>
          <w:color w:val="000000"/>
          <w:kern w:val="0"/>
          <w:sz w:val="24"/>
          <w:szCs w:val="24"/>
          <w:lang w:val="en-US" w:eastAsia="zh-CN" w:bidi="ar"/>
        </w:rPr>
        <w:t xml:space="preserve">5.请勿暴露于淋雨或非常潮湿的地方使用。 </w:t>
      </w:r>
    </w:p>
    <w:p>
      <w:pPr>
        <w:keepNext w:val="0"/>
        <w:keepLines w:val="0"/>
        <w:widowControl/>
        <w:suppressLineNumbers w:val="0"/>
        <w:ind w:left="479" w:leftChars="228" w:firstLine="0" w:firstLineChars="0"/>
        <w:jc w:val="left"/>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6.清洁时，用软布擦拭掉机壳上的污垢。清理污垢时，应以干布清理，污垢不易清除时，可用中性清洗剂轻拭干净，切勿使用碱性清洁剂洗涤。</w:t>
      </w: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ind w:firstLine="240" w:firstLineChars="100"/>
        <w:jc w:val="left"/>
        <w:rPr>
          <w:rFonts w:hint="eastAsia" w:ascii="楷体" w:hAnsi="楷体" w:eastAsia="楷体" w:cs="楷体"/>
          <w:color w:val="000000"/>
          <w:kern w:val="0"/>
          <w:sz w:val="24"/>
          <w:szCs w:val="24"/>
          <w:lang w:val="en-US" w:eastAsia="zh-CN" w:bidi="ar"/>
        </w:rPr>
      </w:pP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pPr>
        <w:tabs>
          <w:tab w:val="left" w:pos="3216"/>
          <w:tab w:val="center" w:pos="4213"/>
        </w:tabs>
        <w:spacing w:before="0" w:beforeLines="0" w:after="0" w:afterLines="0" w:line="240" w:lineRule="auto"/>
        <w:ind w:left="0" w:leftChars="0" w:right="0" w:rightChars="0" w:firstLine="0" w:firstLineChars="0"/>
        <w:jc w:val="center"/>
        <w:rPr>
          <w:rFonts w:hint="eastAsia" w:ascii="宋体" w:hAnsi="宋体" w:eastAsia="宋体" w:cstheme="minorBidi"/>
          <w:kern w:val="2"/>
          <w:sz w:val="21"/>
          <w:szCs w:val="24"/>
          <w:lang w:val="en-US" w:eastAsia="zh-CN" w:bidi="ar-SA"/>
        </w:rPr>
      </w:pPr>
      <w:r>
        <w:rPr>
          <w:rFonts w:hint="eastAsia" w:ascii="宋体" w:hAnsi="宋体" w:eastAsia="宋体" w:cstheme="minorBidi"/>
          <w:kern w:val="2"/>
          <w:sz w:val="21"/>
          <w:szCs w:val="24"/>
          <w:lang w:val="en-US" w:eastAsia="zh-CN" w:bidi="ar-SA"/>
        </w:rPr>
        <w:tab/>
      </w:r>
    </w:p>
    <w:sdt>
      <w:sdtPr>
        <w:rPr>
          <w:rFonts w:ascii="宋体" w:hAnsi="宋体" w:eastAsia="宋体" w:cstheme="minorBidi"/>
          <w:kern w:val="2"/>
          <w:sz w:val="21"/>
          <w:szCs w:val="24"/>
          <w:lang w:val="en-US" w:eastAsia="zh-CN" w:bidi="ar-SA"/>
        </w:rPr>
        <w:id w:val="147460095"/>
        <w15:color w:val="DBDBDB"/>
        <w:docPartObj>
          <w:docPartGallery w:val="Table of Contents"/>
          <w:docPartUnique/>
        </w:docPartObj>
      </w:sdtPr>
      <w:sdtEndPr>
        <w:rPr>
          <w:rFonts w:hint="eastAsia" w:ascii="黑体" w:hAnsi="宋体" w:eastAsia="黑体" w:cs="黑体"/>
          <w:color w:val="000000"/>
          <w:kern w:val="0"/>
          <w:sz w:val="21"/>
          <w:szCs w:val="20"/>
          <w:lang w:val="en-US" w:eastAsia="zh-CN" w:bidi="ar"/>
        </w:rPr>
      </w:sdtEndPr>
      <w:sdtContent>
        <w:p>
          <w:pPr>
            <w:tabs>
              <w:tab w:val="left" w:pos="3216"/>
              <w:tab w:val="center" w:pos="4213"/>
            </w:tabs>
            <w:spacing w:before="0" w:beforeLines="0" w:after="0" w:afterLines="0" w:line="240" w:lineRule="auto"/>
            <w:ind w:left="0" w:leftChars="0" w:right="0" w:rightChars="0" w:firstLine="0" w:firstLineChars="0"/>
            <w:jc w:val="left"/>
            <w:rPr>
              <w:rFonts w:hint="eastAsia" w:ascii="宋体" w:hAnsi="宋体" w:eastAsia="宋体" w:cstheme="minorBidi"/>
              <w:kern w:val="2"/>
              <w:sz w:val="21"/>
              <w:szCs w:val="24"/>
              <w:lang w:val="en-US" w:eastAsia="zh-CN" w:bidi="ar-SA"/>
            </w:rPr>
          </w:pPr>
          <w:r>
            <w:rPr>
              <w:rFonts w:hint="eastAsia" w:ascii="宋体" w:hAnsi="宋体" w:eastAsia="宋体" w:cstheme="minorBidi"/>
              <w:kern w:val="2"/>
              <w:sz w:val="21"/>
              <w:szCs w:val="24"/>
              <w:lang w:val="en-US" w:eastAsia="zh-CN" w:bidi="ar-SA"/>
            </w:rPr>
            <w:tab/>
          </w:r>
        </w:p>
        <w:p>
          <w:pPr>
            <w:tabs>
              <w:tab w:val="left" w:pos="3216"/>
              <w:tab w:val="center" w:pos="4213"/>
            </w:tabs>
            <w:spacing w:before="0" w:beforeLines="0" w:after="0" w:afterLines="0" w:line="240" w:lineRule="auto"/>
            <w:ind w:left="0" w:leftChars="0" w:right="0" w:rightChars="0" w:firstLine="0" w:firstLineChars="0"/>
            <w:jc w:val="left"/>
            <w:rPr>
              <w:rFonts w:hint="eastAsia" w:ascii="宋体" w:hAnsi="宋体" w:eastAsia="宋体" w:cstheme="minorBidi"/>
              <w:kern w:val="2"/>
              <w:sz w:val="21"/>
              <w:szCs w:val="24"/>
              <w:lang w:val="en-US" w:eastAsia="zh-CN" w:bidi="ar-SA"/>
            </w:rPr>
          </w:pPr>
        </w:p>
        <w:p>
          <w:pPr>
            <w:tabs>
              <w:tab w:val="left" w:pos="3216"/>
              <w:tab w:val="center" w:pos="4213"/>
            </w:tabs>
            <w:spacing w:before="0" w:beforeLines="0" w:after="0" w:afterLines="0" w:line="240" w:lineRule="auto"/>
            <w:ind w:left="0" w:leftChars="0" w:right="0" w:rightChars="0" w:firstLine="0" w:firstLineChars="0"/>
            <w:jc w:val="center"/>
          </w:pPr>
          <w:r>
            <w:rPr>
              <w:rFonts w:hint="eastAsia" w:ascii="楷体" w:hAnsi="楷体" w:eastAsia="楷体" w:cs="楷体"/>
              <w:b/>
              <w:bCs/>
              <w:sz w:val="32"/>
              <w:szCs w:val="32"/>
            </w:rPr>
            <w:t>目</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录</w:t>
          </w:r>
        </w:p>
        <w:p>
          <w:pPr>
            <w:pStyle w:val="13"/>
            <w:tabs>
              <w:tab w:val="right" w:leader="dot" w:pos="8306"/>
            </w:tabs>
          </w:pPr>
          <w:r>
            <w:rPr>
              <w:rFonts w:hint="eastAsia" w:ascii="黑体" w:hAnsi="宋体" w:eastAsia="黑体" w:cs="黑体"/>
              <w:color w:val="000000"/>
              <w:kern w:val="0"/>
              <w:sz w:val="20"/>
              <w:szCs w:val="20"/>
              <w:lang w:val="en-US" w:eastAsia="zh-CN" w:bidi="ar"/>
            </w:rPr>
            <w:fldChar w:fldCharType="begin"/>
          </w:r>
          <w:r>
            <w:rPr>
              <w:rFonts w:hint="eastAsia" w:ascii="黑体" w:hAnsi="宋体" w:eastAsia="黑体" w:cs="黑体"/>
              <w:color w:val="000000"/>
              <w:kern w:val="0"/>
              <w:sz w:val="20"/>
              <w:szCs w:val="20"/>
              <w:lang w:val="en-US" w:eastAsia="zh-CN" w:bidi="ar"/>
            </w:rPr>
            <w:instrText xml:space="preserve">TOC \o "1-1" \h \u </w:instrText>
          </w:r>
          <w:r>
            <w:rPr>
              <w:rFonts w:hint="eastAsia" w:ascii="黑体" w:hAnsi="宋体" w:eastAsia="黑体" w:cs="黑体"/>
              <w:color w:val="000000"/>
              <w:kern w:val="0"/>
              <w:sz w:val="20"/>
              <w:szCs w:val="20"/>
              <w:lang w:val="en-US" w:eastAsia="zh-CN" w:bidi="ar"/>
            </w:rPr>
            <w:fldChar w:fldCharType="separate"/>
          </w: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_Toc19266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szCs w:val="32"/>
              <w:lang w:val="en-US" w:eastAsia="zh-CN"/>
            </w:rPr>
            <w:t>第一章 产品介绍</w:t>
          </w:r>
          <w:r>
            <w:tab/>
          </w:r>
          <w:r>
            <w:fldChar w:fldCharType="begin"/>
          </w:r>
          <w:r>
            <w:instrText xml:space="preserve"> PAGEREF _Toc19266 </w:instrText>
          </w:r>
          <w:r>
            <w:fldChar w:fldCharType="separate"/>
          </w:r>
          <w:r>
            <w:t>4</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_Toc28013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1.1 产品概述</w:t>
          </w:r>
          <w:r>
            <w:tab/>
          </w:r>
          <w:r>
            <w:fldChar w:fldCharType="begin"/>
          </w:r>
          <w:r>
            <w:instrText xml:space="preserve"> PAGEREF _Toc28013 </w:instrText>
          </w:r>
          <w:r>
            <w:fldChar w:fldCharType="separate"/>
          </w:r>
          <w:r>
            <w:t>4</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_Toc6473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1.2 产品功能</w:t>
          </w:r>
          <w:r>
            <w:tab/>
          </w:r>
          <w:r>
            <w:fldChar w:fldCharType="begin"/>
          </w:r>
          <w:r>
            <w:instrText xml:space="preserve"> PAGEREF _Toc6473 </w:instrText>
          </w:r>
          <w:r>
            <w:fldChar w:fldCharType="separate"/>
          </w:r>
          <w:r>
            <w:t>4</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_Toc2123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1.3 结构说明</w:t>
          </w:r>
          <w:r>
            <w:tab/>
          </w:r>
          <w:r>
            <w:fldChar w:fldCharType="begin"/>
          </w:r>
          <w:r>
            <w:instrText xml:space="preserve"> PAGEREF _Toc2123 </w:instrText>
          </w:r>
          <w:r>
            <w:fldChar w:fldCharType="separate"/>
          </w:r>
          <w:r>
            <w:t>5</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_Toc9848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szCs w:val="32"/>
              <w:lang w:val="en-US" w:eastAsia="zh-CN"/>
            </w:rPr>
            <w:t>第二章 开箱检查和设备连接</w:t>
          </w:r>
          <w:r>
            <w:tab/>
          </w:r>
          <w:r>
            <w:fldChar w:fldCharType="begin"/>
          </w:r>
          <w:r>
            <w:instrText xml:space="preserve"> PAGEREF _Toc9848 </w:instrText>
          </w:r>
          <w:r>
            <w:fldChar w:fldCharType="separate"/>
          </w:r>
          <w:r>
            <w:t>5</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_Toc388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2.1 开箱检查</w:t>
          </w:r>
          <w:r>
            <w:tab/>
          </w:r>
          <w:r>
            <w:fldChar w:fldCharType="begin"/>
          </w:r>
          <w:r>
            <w:instrText xml:space="preserve"> PAGEREF _Toc388 </w:instrText>
          </w:r>
          <w:r>
            <w:fldChar w:fldCharType="separate"/>
          </w:r>
          <w:r>
            <w:t>5</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_Toc10772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2.2 关于高压气源输入连接</w:t>
          </w:r>
          <w:r>
            <w:tab/>
          </w:r>
          <w:r>
            <w:fldChar w:fldCharType="begin"/>
          </w:r>
          <w:r>
            <w:instrText xml:space="preserve"> PAGEREF _Toc10772 </w:instrText>
          </w:r>
          <w:r>
            <w:fldChar w:fldCharType="separate"/>
          </w:r>
          <w:r>
            <w:t>5</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_Toc13303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2.3 低压气源输入连接</w:t>
          </w:r>
          <w:r>
            <w:tab/>
          </w:r>
          <w:r>
            <w:fldChar w:fldCharType="begin"/>
          </w:r>
          <w:r>
            <w:instrText xml:space="preserve"> PAGEREF _Toc13303 </w:instrText>
          </w:r>
          <w:r>
            <w:fldChar w:fldCharType="separate"/>
          </w:r>
          <w:r>
            <w:t>5</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_Toc14726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2.4 脐带管的连接</w:t>
          </w:r>
          <w:r>
            <w:tab/>
          </w:r>
          <w:r>
            <w:fldChar w:fldCharType="begin"/>
          </w:r>
          <w:r>
            <w:instrText xml:space="preserve"> PAGEREF _Toc14726 </w:instrText>
          </w:r>
          <w:r>
            <w:fldChar w:fldCharType="separate"/>
          </w:r>
          <w:r>
            <w:t>6</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_Toc30050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2.5 连接检查</w:t>
          </w:r>
          <w:r>
            <w:tab/>
          </w:r>
          <w:r>
            <w:fldChar w:fldCharType="begin"/>
          </w:r>
          <w:r>
            <w:instrText xml:space="preserve"> PAGEREF _Toc30050 </w:instrText>
          </w:r>
          <w:r>
            <w:fldChar w:fldCharType="separate"/>
          </w:r>
          <w:r>
            <w:t>6</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_Toc31141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szCs w:val="32"/>
              <w:lang w:val="en-US" w:eastAsia="zh-CN"/>
            </w:rPr>
            <w:t>第三章 基本操作</w:t>
          </w:r>
          <w:r>
            <w:tab/>
          </w:r>
          <w:r>
            <w:fldChar w:fldCharType="begin"/>
          </w:r>
          <w:r>
            <w:instrText xml:space="preserve"> PAGEREF _Toc31141 </w:instrText>
          </w:r>
          <w:r>
            <w:fldChar w:fldCharType="separate"/>
          </w:r>
          <w:r>
            <w:t>6</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_Toc11530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3.1 潜水员供气控制系统工作原理图</w:t>
          </w:r>
          <w:r>
            <w:tab/>
          </w:r>
          <w:r>
            <w:fldChar w:fldCharType="begin"/>
          </w:r>
          <w:r>
            <w:instrText xml:space="preserve"> PAGEREF _Toc11530 </w:instrText>
          </w:r>
          <w:r>
            <w:fldChar w:fldCharType="separate"/>
          </w:r>
          <w:r>
            <w:t>6</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_Toc23362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3.2 开启高压气源输入</w:t>
          </w:r>
          <w:r>
            <w:tab/>
          </w:r>
          <w:r>
            <w:fldChar w:fldCharType="begin"/>
          </w:r>
          <w:r>
            <w:instrText xml:space="preserve"> PAGEREF _Toc23362 </w:instrText>
          </w:r>
          <w:r>
            <w:fldChar w:fldCharType="separate"/>
          </w:r>
          <w:r>
            <w:t>6</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_Toc7314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3.3 调压输出</w:t>
          </w:r>
          <w:r>
            <w:tab/>
          </w:r>
          <w:r>
            <w:fldChar w:fldCharType="begin"/>
          </w:r>
          <w:r>
            <w:instrText xml:space="preserve"> PAGEREF _Toc7314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_Toc17703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3.4 使用低压气源</w:t>
          </w:r>
          <w:r>
            <w:tab/>
          </w:r>
          <w:r>
            <w:fldChar w:fldCharType="begin"/>
          </w:r>
          <w:r>
            <w:instrText xml:space="preserve"> PAGEREF _Toc17703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_Toc21644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3.5 深度表及针阀的使用</w:t>
          </w:r>
          <w:r>
            <w:tab/>
          </w:r>
          <w:r>
            <w:fldChar w:fldCharType="begin"/>
          </w:r>
          <w:r>
            <w:instrText xml:space="preserve"> PAGEREF _Toc21644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_Toc24289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szCs w:val="32"/>
              <w:lang w:val="en-US" w:eastAsia="zh-CN"/>
            </w:rPr>
            <w:t>第四章 供气控制箱使用后的收纳与保养</w:t>
          </w:r>
          <w:r>
            <w:tab/>
          </w:r>
          <w:r>
            <w:fldChar w:fldCharType="begin"/>
          </w:r>
          <w:r>
            <w:instrText xml:space="preserve"> PAGEREF _Toc24289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_Toc23176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4.1 供气控制箱使用后的设备拆解及收纳</w:t>
          </w:r>
          <w:r>
            <w:tab/>
          </w:r>
          <w:r>
            <w:fldChar w:fldCharType="begin"/>
          </w:r>
          <w:r>
            <w:instrText xml:space="preserve"> PAGEREF _Toc23176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_Toc2831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bCs/>
              <w:szCs w:val="32"/>
              <w:lang w:val="en-US" w:eastAsia="zh-CN"/>
            </w:rPr>
            <w:t>4.2 供气控制箱的保养</w:t>
          </w:r>
          <w:r>
            <w:tab/>
          </w:r>
          <w:r>
            <w:fldChar w:fldCharType="begin"/>
          </w:r>
          <w:r>
            <w:instrText xml:space="preserve"> PAGEREF _Toc2831 </w:instrText>
          </w:r>
          <w:r>
            <w:fldChar w:fldCharType="separate"/>
          </w:r>
          <w:r>
            <w:t>7</w:t>
          </w:r>
          <w:r>
            <w:fldChar w:fldCharType="end"/>
          </w:r>
          <w:r>
            <w:rPr>
              <w:rFonts w:hint="eastAsia" w:ascii="黑体" w:hAnsi="宋体" w:eastAsia="黑体" w:cs="黑体"/>
              <w:color w:val="000000"/>
              <w:kern w:val="0"/>
              <w:szCs w:val="20"/>
              <w:lang w:val="en-US" w:eastAsia="zh-CN" w:bidi="ar"/>
            </w:rPr>
            <w:fldChar w:fldCharType="end"/>
          </w:r>
        </w:p>
        <w:p>
          <w:pPr>
            <w:pStyle w:val="13"/>
            <w:tabs>
              <w:tab w:val="right" w:leader="dot" w:pos="8306"/>
            </w:tabs>
          </w:pPr>
          <w:r>
            <w:rPr>
              <w:rFonts w:hint="eastAsia" w:ascii="黑体" w:hAnsi="宋体" w:eastAsia="黑体" w:cs="黑体"/>
              <w:color w:val="000000"/>
              <w:kern w:val="0"/>
              <w:szCs w:val="20"/>
              <w:lang w:val="en-US" w:eastAsia="zh-CN" w:bidi="ar"/>
            </w:rPr>
            <w:fldChar w:fldCharType="begin"/>
          </w:r>
          <w:r>
            <w:rPr>
              <w:rFonts w:hint="eastAsia" w:ascii="黑体" w:hAnsi="宋体" w:eastAsia="黑体" w:cs="黑体"/>
              <w:kern w:val="0"/>
              <w:szCs w:val="20"/>
              <w:lang w:val="en-US" w:eastAsia="zh-CN" w:bidi="ar"/>
            </w:rPr>
            <w:instrText xml:space="preserve"> HYPERLINK \l _Toc29873 </w:instrText>
          </w:r>
          <w:r>
            <w:rPr>
              <w:rFonts w:hint="eastAsia" w:ascii="黑体" w:hAnsi="宋体" w:eastAsia="黑体" w:cs="黑体"/>
              <w:kern w:val="0"/>
              <w:szCs w:val="20"/>
              <w:lang w:val="en-US" w:eastAsia="zh-CN" w:bidi="ar"/>
            </w:rPr>
            <w:fldChar w:fldCharType="separate"/>
          </w:r>
          <w:r>
            <w:rPr>
              <w:rFonts w:hint="eastAsia" w:ascii="楷体" w:hAnsi="楷体" w:eastAsia="楷体" w:cs="楷体"/>
              <w:szCs w:val="32"/>
              <w:lang w:val="en-US" w:eastAsia="zh-CN"/>
            </w:rPr>
            <w:t>第五章 供气控制箱部件相关参数</w:t>
          </w:r>
          <w:r>
            <w:tab/>
          </w:r>
          <w:r>
            <w:fldChar w:fldCharType="begin"/>
          </w:r>
          <w:r>
            <w:instrText xml:space="preserve"> PAGEREF _Toc29873 </w:instrText>
          </w:r>
          <w:r>
            <w:fldChar w:fldCharType="separate"/>
          </w:r>
          <w:r>
            <w:t>9</w:t>
          </w:r>
          <w:r>
            <w:fldChar w:fldCharType="end"/>
          </w:r>
          <w:r>
            <w:rPr>
              <w:rFonts w:hint="eastAsia" w:ascii="黑体" w:hAnsi="宋体" w:eastAsia="黑体" w:cs="黑体"/>
              <w:color w:val="000000"/>
              <w:kern w:val="0"/>
              <w:szCs w:val="20"/>
              <w:lang w:val="en-US" w:eastAsia="zh-CN" w:bidi="ar"/>
            </w:rPr>
            <w:fldChar w:fldCharType="end"/>
          </w:r>
        </w:p>
        <w:p>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Cs w:val="20"/>
              <w:lang w:val="en-US" w:eastAsia="zh-CN" w:bidi="ar"/>
            </w:rPr>
            <w:fldChar w:fldCharType="end"/>
          </w:r>
        </w:p>
      </w:sdtContent>
    </w:sdt>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bookmarkStart w:id="20" w:name="_GoBack"/>
      <w:bookmarkEnd w:id="20"/>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pStyle w:val="2"/>
        <w:bidi w:val="0"/>
        <w:rPr>
          <w:rFonts w:hint="eastAsia"/>
          <w:lang w:val="en-US" w:eastAsia="zh-CN"/>
        </w:rPr>
      </w:pPr>
    </w:p>
    <w:p>
      <w:pPr>
        <w:keepNext w:val="0"/>
        <w:keepLines w:val="0"/>
        <w:widowControl/>
        <w:suppressLineNumbers w:val="0"/>
        <w:jc w:val="center"/>
        <w:outlineLvl w:val="0"/>
        <w:rPr>
          <w:rFonts w:hint="eastAsia" w:ascii="楷体" w:hAnsi="楷体" w:eastAsia="楷体" w:cs="楷体"/>
          <w:b/>
          <w:bCs/>
          <w:color w:val="000000"/>
          <w:kern w:val="0"/>
          <w:sz w:val="32"/>
          <w:szCs w:val="32"/>
          <w:lang w:val="en-US" w:eastAsia="zh-CN" w:bidi="ar"/>
        </w:rPr>
      </w:pPr>
    </w:p>
    <w:p>
      <w:pPr>
        <w:pStyle w:val="2"/>
        <w:bidi w:val="0"/>
        <w:spacing w:line="240" w:lineRule="auto"/>
        <w:jc w:val="center"/>
        <w:rPr>
          <w:rFonts w:hint="eastAsia" w:ascii="楷体" w:hAnsi="楷体" w:eastAsia="楷体" w:cs="楷体"/>
          <w:sz w:val="32"/>
          <w:szCs w:val="32"/>
          <w:lang w:val="en-US" w:eastAsia="zh-CN"/>
        </w:rPr>
      </w:pPr>
      <w:bookmarkStart w:id="0" w:name="_Toc19266"/>
      <w:r>
        <w:rPr>
          <w:rFonts w:hint="eastAsia" w:ascii="楷体" w:hAnsi="楷体" w:eastAsia="楷体" w:cs="楷体"/>
          <w:sz w:val="32"/>
          <w:szCs w:val="32"/>
          <w:lang w:val="en-US" w:eastAsia="zh-CN"/>
        </w:rPr>
        <w:t>第一章 产品介绍</w:t>
      </w:r>
      <w:bookmarkEnd w:id="0"/>
    </w:p>
    <w:p>
      <w:pPr>
        <w:pStyle w:val="2"/>
        <w:bidi w:val="0"/>
        <w:spacing w:line="240" w:lineRule="auto"/>
        <w:rPr>
          <w:rFonts w:hint="eastAsia" w:ascii="楷体" w:hAnsi="楷体" w:eastAsia="楷体" w:cs="楷体"/>
          <w:b w:val="0"/>
          <w:bCs/>
          <w:sz w:val="32"/>
          <w:szCs w:val="32"/>
          <w:lang w:val="en-US" w:eastAsia="zh-CN"/>
        </w:rPr>
      </w:pPr>
      <w:bookmarkStart w:id="1" w:name="_Toc28013"/>
      <w:r>
        <w:rPr>
          <w:rFonts w:hint="eastAsia" w:ascii="楷体" w:hAnsi="楷体" w:eastAsia="楷体" w:cs="楷体"/>
          <w:b w:val="0"/>
          <w:bCs/>
          <w:sz w:val="32"/>
          <w:szCs w:val="32"/>
          <w:lang w:val="en-US" w:eastAsia="zh-CN"/>
        </w:rPr>
        <w:t>1.1 产品概述</w:t>
      </w:r>
      <w:bookmarkEnd w:id="1"/>
      <w:r>
        <w:rPr>
          <w:rFonts w:hint="eastAsia" w:ascii="楷体" w:hAnsi="楷体" w:eastAsia="楷体" w:cs="楷体"/>
          <w:b w:val="0"/>
          <w:bCs/>
          <w:sz w:val="32"/>
          <w:szCs w:val="32"/>
          <w:lang w:val="en-US" w:eastAsia="zh-CN"/>
        </w:rPr>
        <w:t xml:space="preserve">                                           </w:t>
      </w:r>
    </w:p>
    <w:p>
      <w:pPr>
        <w:pStyle w:val="2"/>
        <w:bidi w:val="0"/>
        <w:spacing w:line="240" w:lineRule="auto"/>
        <w:ind w:firstLine="630" w:firstLineChars="300"/>
        <w:rPr>
          <w:rFonts w:hint="eastAsia" w:ascii="楷体" w:hAnsi="楷体" w:eastAsia="楷体" w:cs="楷体"/>
          <w:b w:val="0"/>
          <w:bCs/>
          <w:sz w:val="21"/>
          <w:szCs w:val="21"/>
        </w:rPr>
      </w:pPr>
      <w:r>
        <w:rPr>
          <w:rFonts w:hint="eastAsia" w:ascii="楷体" w:hAnsi="楷体" w:eastAsia="楷体" w:cs="楷体"/>
          <w:b w:val="0"/>
          <w:bCs/>
          <w:color w:val="000000"/>
          <w:kern w:val="21"/>
          <w:sz w:val="21"/>
          <w:szCs w:val="21"/>
          <w:lang w:val="en-US" w:eastAsia="zh-CN" w:bidi="ar"/>
        </w:rPr>
        <w:t>HOPETEK HT-9133型便携式潜水员供气控制系统(HT-9133型)，可以同时给三名潜水员单独提供压力可调的呼吸供气，实现潜水作业供气控制。呼吸气源可以是低压压缩机或高压气瓶。HT-9133 控制</w:t>
      </w:r>
      <w:r>
        <w:rPr>
          <w:rFonts w:hint="eastAsia" w:ascii="楷体" w:hAnsi="楷体" w:eastAsia="楷体" w:cs="楷体"/>
          <w:b w:val="0"/>
          <w:bCs/>
          <w:color w:val="000000"/>
          <w:kern w:val="0"/>
          <w:sz w:val="21"/>
          <w:szCs w:val="21"/>
          <w:lang w:val="en-US" w:eastAsia="zh-CN" w:bidi="ar"/>
        </w:rPr>
        <w:t>潜水员的空气供应和监控潜水员的深度，</w:t>
      </w:r>
      <w:r>
        <w:rPr>
          <w:rFonts w:hint="eastAsia" w:ascii="楷体" w:hAnsi="楷体" w:eastAsia="楷体" w:cs="楷体"/>
          <w:b w:val="0"/>
          <w:bCs/>
          <w:color w:val="000000"/>
          <w:kern w:val="0"/>
          <w:sz w:val="21"/>
          <w:szCs w:val="21"/>
          <w:highlight w:val="none"/>
          <w:lang w:val="en-US" w:eastAsia="zh-CN" w:bidi="ar"/>
        </w:rPr>
        <w:t>深度表表盘具有夜光功能和刻度调零功能，深度显示更加明亮精准。深度表具有Mpa压力、海水米表和淡水米表三种刻度，能够满足不同水质的使用。实现</w:t>
      </w:r>
      <w:r>
        <w:rPr>
          <w:rFonts w:hint="eastAsia" w:ascii="楷体" w:hAnsi="楷体" w:eastAsia="楷体" w:cs="楷体"/>
          <w:b w:val="0"/>
          <w:bCs/>
          <w:color w:val="000000"/>
          <w:kern w:val="0"/>
          <w:sz w:val="21"/>
          <w:szCs w:val="21"/>
          <w:lang w:val="en-US" w:eastAsia="zh-CN" w:bidi="ar"/>
        </w:rPr>
        <w:t>三个潜水员在不同深度进行空气潜水作业，HT-9133 为潜水员提供干净无油、压力恒定、流量稳定的呼吸用空气。即使在一个或两个潜水员供气气源出现污染或者故障的紧急情况下，也可以通过中间互通阀为每位潜水员提供呼吸供气。 HT-9133 三路调节器能将气瓶的高压空气调整到适合潜水员呼吸的压力数值，并通过脐带管给潜水员的呼吸系统提供优质的低压空气。 HT-9133 带有 3 个 YOKE 接口适配器，允许使用 YOKE 标准接口的气瓶， 一个低压空气接口允许接入一台中低压空压机，为每名潜水员提供一套完整的供气系统。HT-9133</w:t>
      </w:r>
      <w:r>
        <w:rPr>
          <w:rFonts w:hint="eastAsia" w:ascii="楷体" w:hAnsi="楷体" w:eastAsia="楷体" w:cs="楷体"/>
          <w:b w:val="0"/>
          <w:bCs/>
          <w:color w:val="000000"/>
          <w:kern w:val="21"/>
          <w:sz w:val="21"/>
          <w:szCs w:val="21"/>
          <w:lang w:val="en-US" w:eastAsia="zh-CN" w:bidi="ar"/>
        </w:rPr>
        <w:t>采用便携式拉杆控制箱设计，</w:t>
      </w:r>
      <w:r>
        <w:rPr>
          <w:rFonts w:hint="eastAsia" w:ascii="楷体" w:hAnsi="楷体" w:eastAsia="楷体" w:cs="楷体"/>
          <w:b w:val="0"/>
          <w:bCs/>
          <w:color w:val="000000"/>
          <w:kern w:val="0"/>
          <w:sz w:val="21"/>
          <w:szCs w:val="21"/>
          <w:lang w:val="en-US" w:eastAsia="zh-CN" w:bidi="ar"/>
        </w:rPr>
        <w:t xml:space="preserve">体积小、重量轻，整体采用高压聚乙烯进口 PELICAN塑料外壳，具有强度高耐腐蚀等特点，拉杆式设计方便搬运和运输。HT-9133 所有的卡扣、气路配件、 仪表等均采用316L不锈钢材质，延长工作使用寿命。 </w:t>
      </w:r>
    </w:p>
    <w:p>
      <w:pPr>
        <w:pStyle w:val="2"/>
        <w:bidi w:val="0"/>
        <w:spacing w:line="240" w:lineRule="auto"/>
        <w:rPr>
          <w:rFonts w:hint="eastAsia" w:ascii="楷体" w:hAnsi="楷体" w:eastAsia="楷体" w:cs="楷体"/>
          <w:b w:val="0"/>
          <w:bCs/>
          <w:sz w:val="32"/>
          <w:szCs w:val="32"/>
          <w:lang w:val="en-US" w:eastAsia="zh-CN"/>
        </w:rPr>
      </w:pPr>
      <w:bookmarkStart w:id="2" w:name="_Toc6473"/>
      <w:r>
        <w:rPr>
          <w:rFonts w:hint="eastAsia" w:ascii="楷体" w:hAnsi="楷体" w:eastAsia="楷体" w:cs="楷体"/>
          <w:b w:val="0"/>
          <w:bCs/>
          <w:sz w:val="32"/>
          <w:szCs w:val="32"/>
          <w:lang w:val="en-US" w:eastAsia="zh-CN"/>
        </w:rPr>
        <w:t>1.2 产品功能</w:t>
      </w:r>
      <w:bookmarkEnd w:id="2"/>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211" w:firstLineChars="100"/>
        <w:jc w:val="left"/>
        <w:rPr>
          <w:rFonts w:hint="eastAsia" w:ascii="楷体" w:hAnsi="楷体" w:eastAsia="楷体" w:cs="楷体"/>
          <w:b/>
          <w:bCs w:val="0"/>
          <w:sz w:val="21"/>
          <w:szCs w:val="21"/>
        </w:rPr>
      </w:pPr>
      <w:r>
        <w:rPr>
          <w:rFonts w:hint="eastAsia" w:ascii="楷体" w:hAnsi="楷体" w:eastAsia="楷体" w:cs="楷体"/>
          <w:b/>
          <w:bCs w:val="0"/>
          <w:color w:val="000000"/>
          <w:kern w:val="0"/>
          <w:sz w:val="21"/>
          <w:szCs w:val="21"/>
          <w:lang w:val="en-US" w:eastAsia="zh-CN" w:bidi="ar"/>
        </w:rPr>
        <w:t xml:space="preserve">3 路高压气瓶气源输入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3路 YOKE 接口的高压输入，气瓶压力上限为 30MPa。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3 路高压气源压力指示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 只高压指示压力表，分别指示三路气瓶压力，量程：0-40MPa，仪表精度：±2.5%。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1 路低压气源输入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1 路低压气源输入，可接入低压空压机。接口为 9/16*18 外丝，74°内锥。低压空气进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气压力不高于 2MPa。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调压功能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具有大流量调压阀三个，调压范围 0-2.0MPa，最大输入压力 40MPa。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脐带管压力指示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 只压力表指示脐带管压力，量程：0-2.5MPa，仪表精度：±2.5%。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潜水员深度指示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 只深度表，接入脐带管的测深管后，指示潜水员作业深度。量程：0-100 米，指示精度：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0.5 米，仪表精度：±0.4%。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主供气管截止阀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3只球阀，分别对应潜水员 1 和潜水员 2 及潜水员3的主供气管输出的开启/关闭。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测深管截止阀 </w:t>
      </w:r>
    </w:p>
    <w:p>
      <w:pPr>
        <w:keepNext w:val="0"/>
        <w:keepLines w:val="0"/>
        <w:widowControl/>
        <w:suppressLineNumbers w:val="0"/>
        <w:ind w:left="210" w:leftChars="100" w:firstLine="0" w:firstLineChars="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HT-9133 具有 3 只针阀，分别对应潜水员 1 、潜水员 2和潜水员3 的测深管的开启/关闭。当针阀打开时，测深管将作为备用气管向潜水员供气，当针阀关闭时，测深管内部压力输入给深度表指示潜水深度。</w:t>
      </w:r>
    </w:p>
    <w:p>
      <w:pPr>
        <w:keepNext w:val="0"/>
        <w:keepLines w:val="0"/>
        <w:widowControl/>
        <w:suppressLineNumbers w:val="0"/>
        <w:ind w:firstLine="211" w:firstLineChars="100"/>
        <w:jc w:val="left"/>
        <w:rPr>
          <w:rFonts w:hint="eastAsia" w:ascii="楷体" w:hAnsi="楷体" w:eastAsia="楷体" w:cs="楷体"/>
          <w:sz w:val="21"/>
          <w:szCs w:val="21"/>
        </w:rPr>
      </w:pPr>
      <w:r>
        <w:rPr>
          <w:rFonts w:hint="eastAsia" w:ascii="楷体" w:hAnsi="楷体" w:eastAsia="楷体" w:cs="楷体"/>
          <w:b/>
          <w:color w:val="000000"/>
          <w:kern w:val="0"/>
          <w:sz w:val="21"/>
          <w:szCs w:val="21"/>
          <w:lang w:val="en-US" w:eastAsia="zh-CN" w:bidi="ar"/>
        </w:rPr>
        <w:t xml:space="preserve">脐带管接口 </w:t>
      </w:r>
    </w:p>
    <w:p>
      <w:pPr>
        <w:keepNext w:val="0"/>
        <w:keepLines w:val="0"/>
        <w:widowControl/>
        <w:suppressLineNumbers w:val="0"/>
        <w:ind w:left="210" w:leftChars="100" w:firstLine="0" w:firstLineChars="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具有 3 个主供气接口和 3个测深管接口，分别接入潜水员 1 、潜水员 2 和潜水员3脐带管的主供气管和测深管。主供气接口为 9/16*18 外丝，74°内锥，测深管接口为 7/16*20 外丝，74°外锥。 </w:t>
      </w:r>
    </w:p>
    <w:p>
      <w:pPr>
        <w:keepNext w:val="0"/>
        <w:keepLines w:val="0"/>
        <w:widowControl/>
        <w:suppressLineNumbers w:val="0"/>
        <w:ind w:firstLine="211" w:firstLineChars="100"/>
        <w:jc w:val="left"/>
        <w:rPr>
          <w:rFonts w:hint="eastAsia" w:ascii="楷体" w:hAnsi="楷体" w:eastAsia="楷体" w:cs="楷体"/>
          <w:b/>
          <w:bCs w:val="0"/>
          <w:color w:val="000000"/>
          <w:kern w:val="0"/>
          <w:sz w:val="21"/>
          <w:szCs w:val="21"/>
          <w:lang w:val="en-US" w:eastAsia="zh-CN" w:bidi="ar"/>
        </w:rPr>
      </w:pPr>
      <w:r>
        <w:rPr>
          <w:rFonts w:hint="eastAsia" w:ascii="楷体" w:hAnsi="楷体" w:eastAsia="楷体" w:cs="楷体"/>
          <w:b/>
          <w:bCs w:val="0"/>
          <w:color w:val="000000"/>
          <w:kern w:val="0"/>
          <w:sz w:val="21"/>
          <w:szCs w:val="21"/>
          <w:lang w:val="en-US" w:eastAsia="zh-CN" w:bidi="ar"/>
        </w:rPr>
        <w:t xml:space="preserve">比例卸荷阀 </w:t>
      </w:r>
    </w:p>
    <w:p>
      <w:pPr>
        <w:keepNext w:val="0"/>
        <w:keepLines w:val="0"/>
        <w:widowControl/>
        <w:suppressLineNumbers w:val="0"/>
        <w:ind w:firstLine="210" w:firstLineChars="1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HT-9133 内部具有三只比例卸荷阀，当脐带管压力高于 2.2MPa 时，比例卸荷阀自动打开卸荷。 </w:t>
      </w:r>
    </w:p>
    <w:p>
      <w:pPr>
        <w:pStyle w:val="2"/>
        <w:bidi w:val="0"/>
        <w:spacing w:line="240" w:lineRule="auto"/>
        <w:rPr>
          <w:rFonts w:hint="eastAsia" w:ascii="楷体" w:hAnsi="楷体" w:eastAsia="楷体" w:cs="楷体"/>
          <w:b w:val="0"/>
          <w:bCs/>
          <w:sz w:val="32"/>
          <w:szCs w:val="32"/>
          <w:lang w:val="en-US" w:eastAsia="zh-CN"/>
        </w:rPr>
      </w:pPr>
      <w:bookmarkStart w:id="3" w:name="_Toc2123"/>
      <w:r>
        <w:rPr>
          <w:rFonts w:hint="eastAsia" w:ascii="楷体" w:hAnsi="楷体" w:eastAsia="楷体" w:cs="楷体"/>
          <w:b w:val="0"/>
          <w:bCs/>
          <w:sz w:val="32"/>
          <w:szCs w:val="32"/>
          <w:lang w:val="en-US" w:eastAsia="zh-CN"/>
        </w:rPr>
        <w:t>1.3 结构说明</w:t>
      </w:r>
      <w:bookmarkEnd w:id="3"/>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高、低压进气接头及压力表、水深表、供气阀、调压器、自动压力卸荷阀和供气接头部分的零部件均安装在面板上。面板材料采用 2mm 不锈钢板，上面刻印有产品名称、商标，指示标牌，另有彩色气路走向线条，分别代表进气、供气及相应的测深。 </w:t>
      </w:r>
    </w:p>
    <w:p>
      <w:pPr>
        <w:keepNext w:val="0"/>
        <w:keepLines w:val="0"/>
        <w:widowControl/>
        <w:suppressLineNumbers w:val="0"/>
        <w:ind w:firstLine="420" w:firstLineChars="20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面板右侧为四个气源进气接头，其中三个为高压进气接头（进气压力值控制在 10～30MPa范围内为最佳），并旋有高压软管及采用国际标准 Yoke 连接方式的气瓶阀夹头，三路高压气源由针阀控制，经过滤后输送至调压器，经调压后输出；上侧一个为低压进气接头，直接与三个供气阀连接。</w:t>
      </w:r>
    </w:p>
    <w:p>
      <w:pPr>
        <w:keepNext w:val="0"/>
        <w:keepLines w:val="0"/>
        <w:widowControl/>
        <w:suppressLineNumbers w:val="0"/>
        <w:ind w:firstLine="420" w:firstLineChars="200"/>
        <w:jc w:val="left"/>
        <w:rPr>
          <w:rFonts w:hint="eastAsia" w:ascii="楷体" w:hAnsi="楷体" w:eastAsia="楷体" w:cs="楷体"/>
          <w:sz w:val="24"/>
          <w:szCs w:val="24"/>
        </w:rPr>
      </w:pPr>
      <w:r>
        <w:rPr>
          <w:rFonts w:hint="eastAsia" w:ascii="楷体" w:hAnsi="楷体" w:eastAsia="楷体" w:cs="楷体"/>
          <w:color w:val="000000"/>
          <w:kern w:val="0"/>
          <w:sz w:val="21"/>
          <w:szCs w:val="21"/>
          <w:lang w:val="en-US" w:eastAsia="zh-CN" w:bidi="ar"/>
        </w:rPr>
        <w:t>面板左侧分别是三个由球阀控制的输出供气接头和两个中间互通阀，另外还有三个测深管接口。三个针型阀设计在三只测深表右上方，对应控制测深管的供气开关。调压器采用了自带过滤功能的调压器，Cv 值达到了 1.0。</w:t>
      </w:r>
      <w:r>
        <w:rPr>
          <w:rFonts w:hint="eastAsia" w:ascii="楷体" w:hAnsi="楷体" w:eastAsia="楷体" w:cs="楷体"/>
          <w:color w:val="000000"/>
          <w:kern w:val="0"/>
          <w:sz w:val="24"/>
          <w:szCs w:val="24"/>
          <w:lang w:val="en-US" w:eastAsia="zh-CN" w:bidi="ar"/>
        </w:rPr>
        <w:t xml:space="preserve"> </w:t>
      </w:r>
    </w:p>
    <w:p>
      <w:pPr>
        <w:pStyle w:val="2"/>
        <w:bidi w:val="0"/>
        <w:spacing w:line="240" w:lineRule="auto"/>
        <w:jc w:val="center"/>
        <w:rPr>
          <w:rFonts w:hint="eastAsia" w:ascii="楷体" w:hAnsi="楷体" w:eastAsia="楷体" w:cs="楷体"/>
          <w:sz w:val="32"/>
          <w:szCs w:val="32"/>
          <w:lang w:val="en-US" w:eastAsia="zh-CN"/>
        </w:rPr>
      </w:pPr>
      <w:bookmarkStart w:id="4" w:name="_Toc9848"/>
      <w:r>
        <w:rPr>
          <w:rFonts w:hint="eastAsia" w:ascii="楷体" w:hAnsi="楷体" w:eastAsia="楷体" w:cs="楷体"/>
          <w:sz w:val="32"/>
          <w:szCs w:val="32"/>
          <w:lang w:val="en-US" w:eastAsia="zh-CN"/>
        </w:rPr>
        <w:t>第二章 开箱检查和设备连接</w:t>
      </w:r>
      <w:bookmarkEnd w:id="4"/>
    </w:p>
    <w:p>
      <w:pPr>
        <w:pStyle w:val="2"/>
        <w:bidi w:val="0"/>
        <w:spacing w:line="240" w:lineRule="auto"/>
        <w:rPr>
          <w:rFonts w:hint="eastAsia" w:ascii="楷体" w:hAnsi="楷体" w:eastAsia="楷体" w:cs="楷体"/>
          <w:b w:val="0"/>
          <w:bCs/>
          <w:sz w:val="32"/>
          <w:szCs w:val="32"/>
          <w:lang w:val="en-US" w:eastAsia="zh-CN"/>
        </w:rPr>
      </w:pPr>
      <w:bookmarkStart w:id="5" w:name="_Toc388"/>
      <w:r>
        <w:rPr>
          <w:rFonts w:hint="eastAsia" w:ascii="楷体" w:hAnsi="楷体" w:eastAsia="楷体" w:cs="楷体"/>
          <w:b w:val="0"/>
          <w:bCs/>
          <w:sz w:val="32"/>
          <w:szCs w:val="32"/>
          <w:lang w:val="en-US" w:eastAsia="zh-CN"/>
        </w:rPr>
        <w:t>2.1 开箱检查</w:t>
      </w:r>
      <w:bookmarkEnd w:id="5"/>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当您收到本产品时：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首先，请检查设备的包装是否有明显的损坏。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其次，请取出设备，查验产品外壳有无破损；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最后，请打开机箱，检查仪表是否有损坏，如有损坏请及时联系经销商或生产厂家。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面板上各种仪表功能及各种接口在说明书中有详细的说明；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请仔细核对面板上的产品型号是否与您订购的产品型号一致；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机身上所贴的标签，对我们的售后服务的工作具有极重要的意义，请保护好。在联系我们公司的售后 服务时，将需要您提供产品标签上的型号和产品序列号。 </w:t>
      </w:r>
    </w:p>
    <w:p>
      <w:pPr>
        <w:pStyle w:val="2"/>
        <w:bidi w:val="0"/>
        <w:spacing w:line="240" w:lineRule="auto"/>
        <w:rPr>
          <w:rFonts w:hint="eastAsia" w:ascii="楷体" w:hAnsi="楷体" w:eastAsia="楷体" w:cs="楷体"/>
          <w:b w:val="0"/>
          <w:bCs/>
          <w:sz w:val="32"/>
          <w:szCs w:val="32"/>
          <w:lang w:val="en-US" w:eastAsia="zh-CN"/>
        </w:rPr>
      </w:pPr>
      <w:bookmarkStart w:id="6" w:name="_Toc10772"/>
      <w:r>
        <w:rPr>
          <w:rFonts w:hint="eastAsia" w:ascii="楷体" w:hAnsi="楷体" w:eastAsia="楷体" w:cs="楷体"/>
          <w:b w:val="0"/>
          <w:bCs/>
          <w:sz w:val="32"/>
          <w:szCs w:val="32"/>
          <w:lang w:val="en-US" w:eastAsia="zh-CN"/>
        </w:rPr>
        <w:t>2.2 关于高压气源输入连接</w:t>
      </w:r>
      <w:bookmarkEnd w:id="6"/>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36"/>
          <w:szCs w:val="36"/>
        </w:rPr>
      </w:pPr>
      <w:r>
        <w:rPr>
          <w:rFonts w:hint="eastAsia" w:ascii="楷体" w:hAnsi="楷体" w:eastAsia="楷体" w:cs="楷体"/>
          <w:color w:val="000000"/>
          <w:kern w:val="0"/>
          <w:sz w:val="21"/>
          <w:szCs w:val="21"/>
          <w:lang w:val="en-US" w:eastAsia="zh-CN" w:bidi="ar"/>
        </w:rPr>
        <w:t>选择 YOKE 接口瓶头阀、最大压力 30MPa，合适容量的气瓶或气瓶组。将 HT-9133 型控制面板自带的 YOKE 高压管夹头接到气瓶的瓶头阀。HT-9133 可同时接入 3 组气瓶，三个高压输入接口内部具有单向阀，防止高压气体倒流。</w:t>
      </w:r>
      <w:r>
        <w:rPr>
          <w:rFonts w:hint="eastAsia" w:ascii="楷体" w:hAnsi="楷体" w:eastAsia="楷体" w:cs="楷体"/>
          <w:color w:val="000000"/>
          <w:kern w:val="0"/>
          <w:sz w:val="36"/>
          <w:szCs w:val="36"/>
          <w:lang w:val="en-US" w:eastAsia="zh-CN" w:bidi="ar"/>
        </w:rPr>
        <w:t xml:space="preserve"> </w:t>
      </w:r>
    </w:p>
    <w:p>
      <w:pPr>
        <w:pStyle w:val="2"/>
        <w:bidi w:val="0"/>
        <w:spacing w:line="240" w:lineRule="auto"/>
        <w:rPr>
          <w:rFonts w:hint="eastAsia" w:ascii="楷体" w:hAnsi="楷体" w:eastAsia="楷体" w:cs="楷体"/>
          <w:b w:val="0"/>
          <w:bCs/>
          <w:sz w:val="32"/>
          <w:szCs w:val="32"/>
          <w:lang w:val="en-US" w:eastAsia="zh-CN"/>
        </w:rPr>
      </w:pPr>
      <w:bookmarkStart w:id="7" w:name="_Toc13303"/>
      <w:r>
        <w:rPr>
          <w:rFonts w:hint="eastAsia" w:ascii="楷体" w:hAnsi="楷体" w:eastAsia="楷体" w:cs="楷体"/>
          <w:b w:val="0"/>
          <w:bCs/>
          <w:sz w:val="32"/>
          <w:szCs w:val="32"/>
          <w:lang w:val="en-US" w:eastAsia="zh-CN"/>
        </w:rPr>
        <w:t>2.3 低压气源输入连接</w:t>
      </w:r>
      <w:bookmarkEnd w:id="7"/>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36"/>
          <w:szCs w:val="36"/>
        </w:rPr>
      </w:pPr>
      <w:r>
        <w:rPr>
          <w:rFonts w:hint="eastAsia" w:ascii="楷体" w:hAnsi="楷体" w:eastAsia="楷体" w:cs="楷体"/>
          <w:color w:val="000000"/>
          <w:kern w:val="0"/>
          <w:sz w:val="21"/>
          <w:szCs w:val="21"/>
          <w:lang w:val="en-US" w:eastAsia="zh-CN" w:bidi="ar"/>
        </w:rPr>
        <w:t>低压接口内部具有单向阀防止气体倒流，选择符合潜水规范要求的中、低压空压机，将空压机输出的空气净化后接入 HT-9133 型控制面板的低压输入接口。</w:t>
      </w:r>
      <w:r>
        <w:rPr>
          <w:rFonts w:hint="eastAsia" w:ascii="楷体" w:hAnsi="楷体" w:eastAsia="楷体" w:cs="楷体"/>
          <w:color w:val="000000"/>
          <w:kern w:val="0"/>
          <w:sz w:val="36"/>
          <w:szCs w:val="36"/>
          <w:lang w:val="en-US" w:eastAsia="zh-CN" w:bidi="ar"/>
        </w:rPr>
        <w:t xml:space="preserve"> </w:t>
      </w:r>
    </w:p>
    <w:p>
      <w:pPr>
        <w:pStyle w:val="2"/>
        <w:bidi w:val="0"/>
        <w:spacing w:line="240" w:lineRule="auto"/>
        <w:rPr>
          <w:rFonts w:hint="eastAsia" w:ascii="楷体" w:hAnsi="楷体" w:eastAsia="楷体" w:cs="楷体"/>
          <w:b w:val="0"/>
          <w:bCs/>
          <w:sz w:val="32"/>
          <w:szCs w:val="32"/>
          <w:lang w:val="en-US" w:eastAsia="zh-CN"/>
        </w:rPr>
      </w:pPr>
      <w:bookmarkStart w:id="8" w:name="_Toc14726"/>
      <w:r>
        <w:rPr>
          <w:rFonts w:hint="eastAsia" w:ascii="楷体" w:hAnsi="楷体" w:eastAsia="楷体" w:cs="楷体"/>
          <w:b w:val="0"/>
          <w:bCs/>
          <w:sz w:val="32"/>
          <w:szCs w:val="32"/>
          <w:lang w:val="en-US" w:eastAsia="zh-CN"/>
        </w:rPr>
        <w:t>2.4 脐带管的连接</w:t>
      </w:r>
      <w:bookmarkEnd w:id="8"/>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36"/>
          <w:szCs w:val="36"/>
        </w:rPr>
      </w:pPr>
      <w:r>
        <w:rPr>
          <w:rFonts w:hint="eastAsia" w:ascii="楷体" w:hAnsi="楷体" w:eastAsia="楷体" w:cs="楷体"/>
          <w:color w:val="000000"/>
          <w:kern w:val="0"/>
          <w:sz w:val="21"/>
          <w:szCs w:val="21"/>
          <w:lang w:val="en-US" w:eastAsia="zh-CN" w:bidi="ar"/>
        </w:rPr>
        <w:t>将 1 号潜水员的主供气管接入配气盘 DIVER1 的主供气管接口，将 1 号潜水员的测深管接入 DIVER1的测深管接口；将 2 号潜水员的主供气管接入到 DIVER2 的主供气接口，将 2 号潜水员的测深管接入 DIVER2； 将 3 号潜水员的主供气管接入配气盘 DIVER3 的主供气管接口，将 3号潜水员的测深管接入 DIVER3的测深管接口的测深管接口。接入时，保证气管接头气密性，不可漏气，连接必须牢固、可靠。</w:t>
      </w:r>
      <w:r>
        <w:rPr>
          <w:rFonts w:hint="eastAsia" w:ascii="楷体" w:hAnsi="楷体" w:eastAsia="楷体" w:cs="楷体"/>
          <w:color w:val="000000"/>
          <w:kern w:val="0"/>
          <w:sz w:val="36"/>
          <w:szCs w:val="36"/>
          <w:lang w:val="en-US" w:eastAsia="zh-CN" w:bidi="ar"/>
        </w:rPr>
        <w:t xml:space="preserve"> </w:t>
      </w:r>
    </w:p>
    <w:p>
      <w:pPr>
        <w:pStyle w:val="2"/>
        <w:bidi w:val="0"/>
        <w:spacing w:line="240" w:lineRule="auto"/>
        <w:rPr>
          <w:rFonts w:hint="eastAsia" w:ascii="楷体" w:hAnsi="楷体" w:eastAsia="楷体" w:cs="楷体"/>
          <w:b w:val="0"/>
          <w:bCs/>
          <w:sz w:val="32"/>
          <w:szCs w:val="32"/>
          <w:lang w:val="en-US" w:eastAsia="zh-CN"/>
        </w:rPr>
      </w:pPr>
      <w:bookmarkStart w:id="9" w:name="_Toc30050"/>
      <w:r>
        <w:rPr>
          <w:rFonts w:hint="eastAsia" w:ascii="楷体" w:hAnsi="楷体" w:eastAsia="楷体" w:cs="楷体"/>
          <w:b w:val="0"/>
          <w:bCs/>
          <w:sz w:val="32"/>
          <w:szCs w:val="32"/>
          <w:lang w:val="en-US" w:eastAsia="zh-CN"/>
        </w:rPr>
        <w:t>2.5 连接检查</w:t>
      </w:r>
      <w:bookmarkEnd w:id="9"/>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将所有设备连接后，检查所有仪表是否归零，检查所有接口的螺母是否锁紧，保证连接可靠，无漏气现象。</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 </w:t>
      </w:r>
    </w:p>
    <w:p>
      <w:pPr>
        <w:pStyle w:val="2"/>
        <w:bidi w:val="0"/>
        <w:spacing w:line="240" w:lineRule="auto"/>
        <w:jc w:val="center"/>
        <w:rPr>
          <w:rFonts w:hint="eastAsia" w:ascii="楷体" w:hAnsi="楷体" w:eastAsia="楷体" w:cs="楷体"/>
          <w:sz w:val="32"/>
          <w:szCs w:val="32"/>
          <w:lang w:val="en-US" w:eastAsia="zh-CN"/>
        </w:rPr>
      </w:pPr>
      <w:bookmarkStart w:id="10" w:name="_Toc31141"/>
      <w:r>
        <w:rPr>
          <w:rFonts w:hint="eastAsia" w:ascii="楷体" w:hAnsi="楷体" w:eastAsia="楷体" w:cs="楷体"/>
          <w:sz w:val="32"/>
          <w:szCs w:val="32"/>
          <w:lang w:val="en-US" w:eastAsia="zh-CN"/>
        </w:rPr>
        <w:t>第三章 基本操作</w:t>
      </w:r>
      <w:bookmarkEnd w:id="10"/>
    </w:p>
    <w:p>
      <w:pPr>
        <w:pStyle w:val="2"/>
        <w:bidi w:val="0"/>
        <w:spacing w:line="240" w:lineRule="auto"/>
        <w:rPr>
          <w:rFonts w:hint="eastAsia" w:ascii="楷体" w:hAnsi="楷体" w:eastAsia="楷体" w:cs="楷体"/>
          <w:b w:val="0"/>
          <w:bCs/>
          <w:sz w:val="32"/>
          <w:szCs w:val="32"/>
          <w:lang w:val="en-US" w:eastAsia="zh-CN"/>
        </w:rPr>
      </w:pPr>
      <w:bookmarkStart w:id="11" w:name="_Toc11530"/>
      <w:r>
        <w:rPr>
          <w:rFonts w:hint="eastAsia" w:ascii="楷体" w:hAnsi="楷体" w:eastAsia="楷体" w:cs="楷体"/>
          <w:b w:val="0"/>
          <w:bCs/>
          <w:sz w:val="32"/>
          <w:szCs w:val="32"/>
          <w:lang w:val="en-US" w:eastAsia="zh-CN"/>
        </w:rPr>
        <w:t>3.1 潜水员供气控制系统工作原理图</w:t>
      </w:r>
      <w:bookmarkEnd w:id="11"/>
    </w:p>
    <w:p>
      <w:pPr>
        <w:rPr>
          <w:rFonts w:hint="eastAsia"/>
          <w:lang w:val="en-US" w:eastAsia="zh-CN"/>
        </w:rPr>
      </w:pPr>
      <w:r>
        <w:rPr>
          <w:rFonts w:hint="eastAsia"/>
          <w:lang w:val="en-US" w:eastAsia="zh-CN"/>
        </w:rPr>
        <w:drawing>
          <wp:inline distT="0" distB="0" distL="114300" distR="114300">
            <wp:extent cx="5269865" cy="2544445"/>
            <wp:effectExtent l="0" t="0" r="6985" b="8255"/>
            <wp:docPr id="3" name="图片 3" descr="1612148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2148329(1)"/>
                    <pic:cNvPicPr>
                      <a:picLocks noChangeAspect="1"/>
                    </pic:cNvPicPr>
                  </pic:nvPicPr>
                  <pic:blipFill>
                    <a:blip r:embed="rId8"/>
                    <a:stretch>
                      <a:fillRect/>
                    </a:stretch>
                  </pic:blipFill>
                  <pic:spPr>
                    <a:xfrm>
                      <a:off x="0" y="0"/>
                      <a:ext cx="5269865" cy="2544445"/>
                    </a:xfrm>
                    <a:prstGeom prst="rect">
                      <a:avLst/>
                    </a:prstGeom>
                  </pic:spPr>
                </pic:pic>
              </a:graphicData>
            </a:graphic>
          </wp:inline>
        </w:drawing>
      </w:r>
    </w:p>
    <w:p>
      <w:pPr>
        <w:pStyle w:val="2"/>
        <w:bidi w:val="0"/>
        <w:spacing w:line="240" w:lineRule="auto"/>
        <w:rPr>
          <w:rFonts w:hint="eastAsia" w:ascii="楷体" w:hAnsi="楷体" w:eastAsia="楷体" w:cs="楷体"/>
          <w:b w:val="0"/>
          <w:bCs/>
          <w:sz w:val="32"/>
          <w:szCs w:val="32"/>
          <w:lang w:val="en-US" w:eastAsia="zh-CN"/>
        </w:rPr>
      </w:pPr>
      <w:bookmarkStart w:id="12" w:name="_Toc23362"/>
      <w:r>
        <w:rPr>
          <w:rFonts w:hint="eastAsia" w:ascii="楷体" w:hAnsi="楷体" w:eastAsia="楷体" w:cs="楷体"/>
          <w:b w:val="0"/>
          <w:bCs/>
          <w:sz w:val="32"/>
          <w:szCs w:val="32"/>
          <w:lang w:val="en-US" w:eastAsia="zh-CN"/>
        </w:rPr>
        <w:t>3.2 开启高压气源输入</w:t>
      </w:r>
      <w:bookmarkEnd w:id="12"/>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4"/>
          <w:szCs w:val="24"/>
        </w:rPr>
      </w:pPr>
      <w:r>
        <w:rPr>
          <w:rFonts w:hint="eastAsia" w:ascii="楷体" w:hAnsi="楷体" w:eastAsia="楷体" w:cs="楷体"/>
          <w:color w:val="000000"/>
          <w:kern w:val="0"/>
          <w:sz w:val="21"/>
          <w:szCs w:val="21"/>
          <w:lang w:val="en-US" w:eastAsia="zh-CN" w:bidi="ar"/>
        </w:rPr>
        <w:t>将每一路的高压输入的针阀打开，此时高压气源输入到供气控制箱，红色压力表指示红色 YOKE 接口的气瓶输入压力，蓝色压力表指示蓝色 YOKE 接口的气瓶输入压力，浅蓝色压力表指示浅蓝色 YOKE 接口的气瓶输入压力 。</w:t>
      </w:r>
      <w:r>
        <w:rPr>
          <w:rFonts w:hint="eastAsia" w:ascii="楷体" w:hAnsi="楷体" w:eastAsia="楷体" w:cs="楷体"/>
          <w:color w:val="000000"/>
          <w:kern w:val="0"/>
          <w:sz w:val="24"/>
          <w:szCs w:val="24"/>
          <w:lang w:val="en-US" w:eastAsia="zh-CN" w:bidi="ar"/>
        </w:rPr>
        <w:t xml:space="preserve"> </w:t>
      </w:r>
    </w:p>
    <w:p>
      <w:pPr>
        <w:pStyle w:val="2"/>
        <w:bidi w:val="0"/>
        <w:spacing w:line="240" w:lineRule="auto"/>
        <w:rPr>
          <w:rFonts w:hint="eastAsia" w:ascii="楷体" w:hAnsi="楷体" w:eastAsia="楷体" w:cs="楷体"/>
          <w:b w:val="0"/>
          <w:bCs/>
          <w:sz w:val="32"/>
          <w:szCs w:val="32"/>
          <w:lang w:val="en-US" w:eastAsia="zh-CN"/>
        </w:rPr>
      </w:pPr>
      <w:bookmarkStart w:id="13" w:name="_Toc7314"/>
      <w:r>
        <w:rPr>
          <w:rFonts w:hint="eastAsia" w:ascii="楷体" w:hAnsi="楷体" w:eastAsia="楷体" w:cs="楷体"/>
          <w:b w:val="0"/>
          <w:bCs/>
          <w:sz w:val="32"/>
          <w:szCs w:val="32"/>
          <w:lang w:val="en-US" w:eastAsia="zh-CN"/>
        </w:rPr>
        <w:t>3.3 调压输出</w:t>
      </w:r>
      <w:bookmarkEnd w:id="13"/>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高压气源输入后，调节对应的三只调压阀（逆时针旋转手柄降低输出压力，顺时针旋转手柄升高输出压力，调节范围：0-2.0MPa），三只脐带压力表指示调压后的输出压力，即脐带管压力。根据潜水深度调节至合适压力。开启潜水员 1，潜水员 2和潜水员3 对应的球阀，使球阀手柄处于水平位置，此时供气控制箱通过脐带管主供气管向潜水员供气，密切观察各压力表的脐带管压力，保证正常压力输出。 </w:t>
      </w:r>
    </w:p>
    <w:p>
      <w:pPr>
        <w:pStyle w:val="2"/>
        <w:bidi w:val="0"/>
        <w:spacing w:line="240" w:lineRule="auto"/>
        <w:rPr>
          <w:rFonts w:hint="eastAsia" w:ascii="楷体" w:hAnsi="楷体" w:eastAsia="楷体" w:cs="楷体"/>
          <w:b w:val="0"/>
          <w:bCs/>
          <w:sz w:val="32"/>
          <w:szCs w:val="32"/>
          <w:lang w:val="en-US" w:eastAsia="zh-CN"/>
        </w:rPr>
      </w:pPr>
      <w:bookmarkStart w:id="14" w:name="_Toc17703"/>
      <w:r>
        <w:rPr>
          <w:rFonts w:hint="eastAsia" w:ascii="楷体" w:hAnsi="楷体" w:eastAsia="楷体" w:cs="楷体"/>
          <w:b w:val="0"/>
          <w:bCs/>
          <w:sz w:val="32"/>
          <w:szCs w:val="32"/>
          <w:lang w:val="en-US" w:eastAsia="zh-CN"/>
        </w:rPr>
        <w:t>3.4 使用低压气源</w:t>
      </w:r>
      <w:bookmarkEnd w:id="14"/>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将空压机开启，此时低压输入的气源通过供气控制箱内部直接连接到调压阀输出端，不经过调压直接向脐带管供气。</w:t>
      </w:r>
    </w:p>
    <w:p>
      <w:pPr>
        <w:pStyle w:val="2"/>
        <w:bidi w:val="0"/>
        <w:spacing w:line="240" w:lineRule="auto"/>
        <w:rPr>
          <w:rFonts w:hint="eastAsia" w:ascii="楷体" w:hAnsi="楷体" w:eastAsia="楷体" w:cs="楷体"/>
          <w:b w:val="0"/>
          <w:bCs/>
          <w:sz w:val="32"/>
          <w:szCs w:val="32"/>
          <w:lang w:val="en-US" w:eastAsia="zh-CN"/>
        </w:rPr>
      </w:pPr>
      <w:bookmarkStart w:id="15" w:name="_Toc21644"/>
      <w:r>
        <w:rPr>
          <w:rFonts w:hint="eastAsia" w:ascii="楷体" w:hAnsi="楷体" w:eastAsia="楷体" w:cs="楷体"/>
          <w:b w:val="0"/>
          <w:bCs/>
          <w:sz w:val="32"/>
          <w:szCs w:val="32"/>
          <w:lang w:val="en-US" w:eastAsia="zh-CN"/>
        </w:rPr>
        <w:t>3.5 深度表及针阀的使用</w:t>
      </w:r>
      <w:bookmarkEnd w:id="15"/>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在测量潜水员潜水深度时，可打开该路相应的测深控制阀，当潜水员一端的测深管口能排出多余的气体时，也是测深表指针显示基本稳定时，关闭测深控制阀，就能从水深表上显示出潜水深度。白色标识的深度表指示 1 号潜水员（DIVER1）的潜水深度，黄色标识的深度表指示 2 号潜水员（DIVER2）的潜水深度，紫色标识的深度表指示 3 号潜水员（DIVER3）的潜水深度。当遇到紧急情况，需要将测深管作为备用气管向潜水员供气时，逆时针旋转深度表旁边的针阀，此时供气控制箱通过测深管向潜水员供气，潜水员将测深管末端从颈部插入到面罩内部即可作为备用供气管。白色深度表旁边的针阀对应的 1 号潜水员（DIVER1），黄色深度表旁边的针阀对应的 2 号潜水员（DIVER2），紫色深度表旁边的针阀对应的 2 号潜水员（DIVER2）。当其中一路或两路供气出现故障时，打开对应的互通阀，便可实现三路互相借气，出现这种情况，潜水员必须立即按要求出水。</w:t>
      </w:r>
    </w:p>
    <w:p>
      <w:pPr>
        <w:pStyle w:val="2"/>
        <w:bidi w:val="0"/>
        <w:spacing w:line="240" w:lineRule="auto"/>
        <w:jc w:val="center"/>
        <w:rPr>
          <w:rFonts w:hint="eastAsia" w:ascii="楷体" w:hAnsi="楷体" w:eastAsia="楷体" w:cs="楷体"/>
          <w:sz w:val="32"/>
          <w:szCs w:val="32"/>
          <w:lang w:val="en-US" w:eastAsia="zh-CN"/>
        </w:rPr>
      </w:pPr>
      <w:bookmarkStart w:id="16" w:name="_Toc24289"/>
      <w:r>
        <w:rPr>
          <w:rFonts w:hint="eastAsia" w:ascii="楷体" w:hAnsi="楷体" w:eastAsia="楷体" w:cs="楷体"/>
          <w:sz w:val="32"/>
          <w:szCs w:val="32"/>
          <w:lang w:val="en-US" w:eastAsia="zh-CN"/>
        </w:rPr>
        <w:t>第四章 供气控制箱使用后的收纳与保养</w:t>
      </w:r>
      <w:bookmarkEnd w:id="16"/>
    </w:p>
    <w:p>
      <w:pPr>
        <w:pStyle w:val="2"/>
        <w:bidi w:val="0"/>
        <w:spacing w:line="240" w:lineRule="auto"/>
        <w:rPr>
          <w:rFonts w:hint="eastAsia" w:ascii="楷体" w:hAnsi="楷体" w:eastAsia="楷体" w:cs="楷体"/>
          <w:b w:val="0"/>
          <w:bCs/>
          <w:sz w:val="32"/>
          <w:szCs w:val="32"/>
          <w:lang w:val="en-US" w:eastAsia="zh-CN"/>
        </w:rPr>
      </w:pPr>
      <w:bookmarkStart w:id="17" w:name="_Toc23176"/>
      <w:r>
        <w:rPr>
          <w:rFonts w:hint="eastAsia" w:ascii="楷体" w:hAnsi="楷体" w:eastAsia="楷体" w:cs="楷体"/>
          <w:b w:val="0"/>
          <w:bCs/>
          <w:sz w:val="32"/>
          <w:szCs w:val="32"/>
          <w:lang w:val="en-US" w:eastAsia="zh-CN"/>
        </w:rPr>
        <w:t>4.1 供气控制箱使用后的设备拆解及收纳</w:t>
      </w:r>
      <w:bookmarkEnd w:id="17"/>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sz w:val="24"/>
          <w:szCs w:val="24"/>
        </w:rPr>
      </w:pPr>
      <w:r>
        <w:rPr>
          <w:rFonts w:hint="eastAsia" w:ascii="楷体" w:hAnsi="楷体" w:eastAsia="楷体" w:cs="楷体"/>
          <w:color w:val="000000"/>
          <w:kern w:val="0"/>
          <w:sz w:val="21"/>
          <w:szCs w:val="21"/>
          <w:lang w:val="en-US" w:eastAsia="zh-CN" w:bidi="ar"/>
        </w:rPr>
        <w:t>设备使用完毕后，将高压气瓶瓶头阀阀门关闭，通过 YOKE 接口上的放气旋钮将管路中的高压气体排出，再将高压管与气瓶分离。按顺序将低压输入气管、脐带管从供气控制箱上分离。并将供气控制箱的球阀和针阀调至关闭位置。调压阀逆时针旋转至放松状态，此时调压阀处于关闭状态。</w:t>
      </w:r>
    </w:p>
    <w:p>
      <w:pPr>
        <w:pStyle w:val="2"/>
        <w:bidi w:val="0"/>
        <w:spacing w:line="240" w:lineRule="auto"/>
        <w:rPr>
          <w:rFonts w:hint="eastAsia" w:ascii="楷体" w:hAnsi="楷体" w:eastAsia="楷体" w:cs="楷体"/>
          <w:b w:val="0"/>
          <w:bCs/>
          <w:sz w:val="32"/>
          <w:szCs w:val="32"/>
          <w:lang w:val="en-US" w:eastAsia="zh-CN"/>
        </w:rPr>
      </w:pPr>
      <w:bookmarkStart w:id="18" w:name="_Toc2831"/>
      <w:r>
        <w:rPr>
          <w:rFonts w:hint="eastAsia" w:ascii="楷体" w:hAnsi="楷体" w:eastAsia="楷体" w:cs="楷体"/>
          <w:b w:val="0"/>
          <w:bCs/>
          <w:sz w:val="32"/>
          <w:szCs w:val="32"/>
          <w:lang w:val="en-US" w:eastAsia="zh-CN"/>
        </w:rPr>
        <w:t>4.2 供气控制箱的保养</w:t>
      </w:r>
      <w:bookmarkEnd w:id="18"/>
      <w:r>
        <w:rPr>
          <w:rFonts w:hint="eastAsia" w:ascii="楷体" w:hAnsi="楷体" w:eastAsia="楷体" w:cs="楷体"/>
          <w:b w:val="0"/>
          <w:bCs/>
          <w:sz w:val="32"/>
          <w:szCs w:val="32"/>
          <w:lang w:val="en-US" w:eastAsia="zh-CN"/>
        </w:rPr>
        <w:t xml:space="preserve"> </w:t>
      </w:r>
    </w:p>
    <w:p>
      <w:pPr>
        <w:keepNext w:val="0"/>
        <w:keepLines w:val="0"/>
        <w:widowControl/>
        <w:suppressLineNumbers w:val="0"/>
        <w:ind w:firstLine="420" w:firstLineChars="20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供气控制箱需配有专职人员操作，以确保使用安全。供气控制箱使用完毕，要擦拭干净，以防锈蚀。供气控制箱在移动或使用中要避免碰撞和剧烈震动，以免损坏仪表等比较精密的零部件损坏。各阀门手轮启闭时用力适当，在手轮关闭和开启到最大位置时避免用力太大以致造成阀芯和其他损伤。箱体内调压阀自带的空气过滤器滤芯需每年保养或更换。供气控制箱平时要存放在干燥的室内，并严禁同油脂和有毒、腐蚀及刺激性物质接触。压力表、水深表应按国家计量检验规定进行检测校准。供气控制箱每次使用都应填写使用记录，包括使用日期、时长等信息，为维护保养提供可靠使用数据。</w:t>
      </w:r>
    </w:p>
    <w:p>
      <w:pPr>
        <w:keepNext w:val="0"/>
        <w:keepLines w:val="0"/>
        <w:widowControl/>
        <w:suppressLineNumbers w:val="0"/>
        <w:ind w:firstLine="420" w:firstLineChars="200"/>
        <w:jc w:val="left"/>
        <w:rPr>
          <w:rFonts w:hint="eastAsia" w:ascii="楷体" w:hAnsi="楷体" w:eastAsia="楷体" w:cs="楷体"/>
          <w:color w:val="000000"/>
          <w:kern w:val="0"/>
          <w:sz w:val="21"/>
          <w:szCs w:val="21"/>
          <w:lang w:val="en-US" w:eastAsia="zh-CN" w:bidi="ar"/>
        </w:rPr>
      </w:pPr>
      <w:r>
        <w:rPr>
          <w:rFonts w:hint="eastAsia" w:ascii="楷体" w:hAnsi="楷体" w:eastAsia="楷体" w:cs="楷体"/>
          <w:color w:val="000000"/>
          <w:kern w:val="0"/>
          <w:sz w:val="21"/>
          <w:szCs w:val="21"/>
          <w:lang w:val="en-US" w:eastAsia="zh-CN" w:bidi="ar"/>
        </w:rPr>
        <w:t>供气控制箱需要定期返厂做保养及校准维护，也可委托相关权威机构效验。</w:t>
      </w:r>
      <w:bookmarkStart w:id="19" w:name="_Toc29873"/>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p>
    <w:p>
      <w:pPr>
        <w:keepNext w:val="0"/>
        <w:keepLines w:val="0"/>
        <w:widowControl/>
        <w:suppressLineNumbers w:val="0"/>
        <w:jc w:val="both"/>
        <w:rPr>
          <w:rFonts w:hint="eastAsia" w:ascii="楷体" w:hAnsi="楷体" w:eastAsia="楷体" w:cs="楷体"/>
          <w:sz w:val="32"/>
          <w:szCs w:val="32"/>
          <w:lang w:val="en-US" w:eastAsia="zh-CN"/>
        </w:rPr>
      </w:pPr>
    </w:p>
    <w:p>
      <w:pPr>
        <w:keepNext w:val="0"/>
        <w:keepLines w:val="0"/>
        <w:widowControl/>
        <w:suppressLineNumbers w:val="0"/>
        <w:ind w:firstLine="320" w:firstLineChars="10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供气控制箱部件相关参数</w:t>
      </w:r>
      <w:bookmarkEnd w:id="19"/>
    </w:p>
    <w:tbl>
      <w:tblPr>
        <w:tblStyle w:val="15"/>
        <w:tblW w:w="10074"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8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40" w:type="dxa"/>
            <w:shd w:val="clear" w:color="auto" w:fill="0B9796"/>
            <w:vAlign w:val="center"/>
          </w:tcPr>
          <w:p>
            <w:pPr>
              <w:keepNext w:val="0"/>
              <w:keepLines w:val="0"/>
              <w:widowControl/>
              <w:suppressLineNumbers w:val="0"/>
              <w:jc w:val="center"/>
              <w:rPr>
                <w:rFonts w:hint="eastAsia" w:ascii="楷体" w:hAnsi="楷体" w:eastAsia="楷体" w:cs="楷体"/>
                <w:b/>
                <w:bCs/>
                <w:color w:val="000000"/>
                <w:kern w:val="0"/>
                <w:sz w:val="24"/>
                <w:szCs w:val="24"/>
                <w:highlight w:val="none"/>
                <w:vertAlign w:val="baseline"/>
                <w:lang w:val="en-US" w:eastAsia="zh-CN" w:bidi="ar"/>
              </w:rPr>
            </w:pPr>
            <w:r>
              <w:rPr>
                <w:rFonts w:hint="eastAsia" w:ascii="楷体" w:hAnsi="楷体" w:eastAsia="楷体" w:cs="楷体"/>
                <w:b/>
                <w:bCs/>
                <w:color w:val="000000"/>
                <w:kern w:val="0"/>
                <w:sz w:val="24"/>
                <w:szCs w:val="24"/>
                <w:highlight w:val="none"/>
                <w:vertAlign w:val="baseline"/>
                <w:lang w:val="en-US" w:eastAsia="zh-CN" w:bidi="ar"/>
              </w:rPr>
              <w:t>名称</w:t>
            </w:r>
          </w:p>
        </w:tc>
        <w:tc>
          <w:tcPr>
            <w:tcW w:w="8034" w:type="dxa"/>
            <w:shd w:val="clear" w:color="auto" w:fill="0B9796"/>
            <w:vAlign w:val="center"/>
          </w:tcPr>
          <w:p>
            <w:pPr>
              <w:keepNext w:val="0"/>
              <w:keepLines w:val="0"/>
              <w:widowControl/>
              <w:suppressLineNumbers w:val="0"/>
              <w:jc w:val="center"/>
              <w:rPr>
                <w:rFonts w:hint="eastAsia" w:ascii="楷体" w:hAnsi="楷体" w:eastAsia="楷体" w:cs="楷体"/>
                <w:b/>
                <w:bCs/>
                <w:color w:val="000000"/>
                <w:kern w:val="0"/>
                <w:sz w:val="24"/>
                <w:szCs w:val="24"/>
                <w:highlight w:val="none"/>
                <w:vertAlign w:val="baseline"/>
                <w:lang w:val="en-US" w:eastAsia="zh-CN" w:bidi="ar"/>
              </w:rPr>
            </w:pPr>
            <w:r>
              <w:rPr>
                <w:rFonts w:hint="eastAsia" w:ascii="楷体" w:hAnsi="楷体" w:eastAsia="楷体" w:cs="楷体"/>
                <w:b/>
                <w:bCs/>
                <w:color w:val="000000"/>
                <w:kern w:val="0"/>
                <w:sz w:val="24"/>
                <w:szCs w:val="24"/>
                <w:highlight w:val="none"/>
                <w:vertAlign w:val="baseli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高压气瓶夹头</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YOKE 标准瓶头阀接口，带放气阀，管长 130cm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高压压力表</w:t>
            </w:r>
          </w:p>
        </w:tc>
        <w:tc>
          <w:tcPr>
            <w:tcW w:w="8034" w:type="dxa"/>
            <w:shd w:val="clear" w:color="auto" w:fill="F5F2C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60mm 直径；量程：0-40MPa；精度：±2.5%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深度表</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深度表150mm 直径；量程：0-100 米；最小指示单位：0.5 米；精度：±0.4%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脐带压力表</w:t>
            </w:r>
          </w:p>
        </w:tc>
        <w:tc>
          <w:tcPr>
            <w:tcW w:w="8034" w:type="dxa"/>
            <w:shd w:val="clear" w:color="auto" w:fill="F5F2C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100mm 直径；量程：0-2.5MPa；精度：±1.6%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球阀</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不锈钢阀体；额定压力：40MPa；工作温度：-28 至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调压阀</w:t>
            </w:r>
          </w:p>
        </w:tc>
        <w:tc>
          <w:tcPr>
            <w:tcW w:w="8034" w:type="dxa"/>
            <w:shd w:val="clear" w:color="auto" w:fill="F5F2C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本体材质：316L 不锈钢；进口最大压力：40MPa；输出压力范围：0-2.0MPa；工作温度：-40 至 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针阀</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不锈钢阀体；额定压力：35MPa；工作温度：-28 至 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选择阀</w:t>
            </w:r>
          </w:p>
        </w:tc>
        <w:tc>
          <w:tcPr>
            <w:tcW w:w="8034"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不锈钢阀体； 二进一出；耐压：40MPa；工作温度：-28 至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单向阀</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不锈钢阀体；额定压力：40MPa；工作温度：-28 至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比例卸荷阀</w:t>
            </w:r>
          </w:p>
        </w:tc>
        <w:tc>
          <w:tcPr>
            <w:tcW w:w="8034" w:type="dxa"/>
            <w:shd w:val="clear" w:color="auto" w:fill="F5F2C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不锈钢阀体；设定泄压压力：2.2MPa；当脐带压力达到设定压力时安全泄压阀打开，当脐带压力低降低至设定压力值以下阀门关闭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低压输入接口</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不锈钢本体，外丝 9/16*18，74°内锥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主供气输出接口</w:t>
            </w:r>
          </w:p>
        </w:tc>
        <w:tc>
          <w:tcPr>
            <w:tcW w:w="8034" w:type="dxa"/>
            <w:shd w:val="clear" w:color="auto" w:fill="F5F2C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不锈钢本体，外丝 9/16*18，74°内锥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测深管接口</w:t>
            </w:r>
          </w:p>
        </w:tc>
        <w:tc>
          <w:tcPr>
            <w:tcW w:w="8034" w:type="dxa"/>
            <w:shd w:val="clear" w:color="auto" w:fill="9CC2E5" w:themeFill="accent1" w:themeFillTint="99"/>
            <w:vAlign w:val="center"/>
          </w:tcPr>
          <w:p>
            <w:pPr>
              <w:keepNext w:val="0"/>
              <w:keepLines w:val="0"/>
              <w:widowControl/>
              <w:suppressLineNumbers w:val="0"/>
              <w:jc w:val="left"/>
              <w:rPr>
                <w:rFonts w:hint="eastAsia" w:ascii="楷体" w:hAnsi="楷体" w:eastAsia="楷体" w:cs="楷体"/>
                <w:color w:val="000000"/>
                <w:kern w:val="0"/>
                <w:sz w:val="24"/>
                <w:szCs w:val="24"/>
                <w:vertAlign w:val="baseline"/>
                <w:lang w:val="en-US" w:eastAsia="zh-CN" w:bidi="ar"/>
              </w:rPr>
            </w:pPr>
            <w:r>
              <w:rPr>
                <w:rFonts w:hint="eastAsia" w:ascii="楷体" w:hAnsi="楷体" w:eastAsia="楷体" w:cs="楷体"/>
                <w:color w:val="000000"/>
                <w:kern w:val="0"/>
                <w:sz w:val="24"/>
                <w:szCs w:val="24"/>
                <w:lang w:val="en-US" w:eastAsia="zh-CN" w:bidi="ar"/>
              </w:rPr>
              <w:t>316L 不锈钢本体，外丝 7/16*20，74°外锥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内部管路</w:t>
            </w:r>
          </w:p>
        </w:tc>
        <w:tc>
          <w:tcPr>
            <w:tcW w:w="8034" w:type="dxa"/>
            <w:shd w:val="clear" w:color="auto" w:fill="F5F2C9"/>
            <w:vAlign w:val="center"/>
          </w:tcPr>
          <w:p>
            <w:pPr>
              <w:keepNext w:val="0"/>
              <w:keepLines w:val="0"/>
              <w:widowControl/>
              <w:suppressLineNumbers w:val="0"/>
              <w:jc w:val="left"/>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316L 不锈钢管路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内部管件</w:t>
            </w:r>
          </w:p>
        </w:tc>
        <w:tc>
          <w:tcPr>
            <w:tcW w:w="8034" w:type="dxa"/>
            <w:shd w:val="clear" w:color="auto" w:fill="9CC2E5" w:themeFill="accent1" w:themeFillTint="99"/>
            <w:vAlign w:val="center"/>
          </w:tcPr>
          <w:p>
            <w:pPr>
              <w:keepNext w:val="0"/>
              <w:keepLines w:val="0"/>
              <w:widowControl/>
              <w:suppressLineNumbers w:val="0"/>
              <w:jc w:val="left"/>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316 不锈钢本体；最大耐压：40MPa；工作温度：-40 至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F5F2C9"/>
            <w:vAlign w:val="center"/>
          </w:tcPr>
          <w:p>
            <w:pPr>
              <w:keepNext w:val="0"/>
              <w:keepLines w:val="0"/>
              <w:widowControl/>
              <w:suppressLineNumbers w:val="0"/>
              <w:jc w:val="center"/>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重量</w:t>
            </w:r>
          </w:p>
        </w:tc>
        <w:tc>
          <w:tcPr>
            <w:tcW w:w="8034" w:type="dxa"/>
            <w:shd w:val="clear" w:color="auto" w:fill="F5F2C9"/>
            <w:vAlign w:val="center"/>
          </w:tcPr>
          <w:p>
            <w:pPr>
              <w:keepNext w:val="0"/>
              <w:keepLines w:val="0"/>
              <w:widowControl/>
              <w:suppressLineNumbers w:val="0"/>
              <w:jc w:val="left"/>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highlight w:val="none"/>
                <w:lang w:val="en-US" w:eastAsia="zh-CN" w:bidi="ar"/>
              </w:rPr>
              <w:t>净重 34.8kg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40" w:type="dxa"/>
            <w:shd w:val="clear" w:color="auto" w:fill="9CC2E5" w:themeFill="accent1" w:themeFillTint="99"/>
            <w:vAlign w:val="center"/>
          </w:tcPr>
          <w:p>
            <w:pPr>
              <w:keepNext w:val="0"/>
              <w:keepLines w:val="0"/>
              <w:widowControl/>
              <w:suppressLineNumbers w:val="0"/>
              <w:jc w:val="center"/>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外形尺寸</w:t>
            </w:r>
          </w:p>
        </w:tc>
        <w:tc>
          <w:tcPr>
            <w:tcW w:w="8034" w:type="dxa"/>
            <w:shd w:val="clear" w:color="auto" w:fill="9CC2E5" w:themeFill="accent1" w:themeFillTint="99"/>
            <w:vAlign w:val="center"/>
          </w:tcPr>
          <w:p>
            <w:pPr>
              <w:keepNext w:val="0"/>
              <w:keepLines w:val="0"/>
              <w:widowControl/>
              <w:suppressLineNumbers w:val="0"/>
              <w:jc w:val="left"/>
              <w:rPr>
                <w:rFonts w:hint="eastAsia" w:hAnsi="仿宋" w:eastAsia="仿宋" w:cs="仿宋" w:asciiTheme="minorAscii"/>
                <w:color w:val="000000"/>
                <w:kern w:val="0"/>
                <w:sz w:val="24"/>
                <w:szCs w:val="24"/>
                <w:vertAlign w:val="baseline"/>
                <w:lang w:val="en-US" w:eastAsia="zh-CN" w:bidi="ar"/>
              </w:rPr>
            </w:pPr>
            <w:r>
              <w:rPr>
                <w:rFonts w:hint="eastAsia" w:hAnsi="仿宋" w:eastAsia="仿宋" w:cs="仿宋" w:asciiTheme="minorAscii"/>
                <w:color w:val="000000"/>
                <w:kern w:val="0"/>
                <w:sz w:val="24"/>
                <w:szCs w:val="24"/>
                <w:lang w:val="en-US" w:eastAsia="zh-CN" w:bidi="ar"/>
              </w:rPr>
              <w:t>810mm*530mm*320mm</w:t>
            </w:r>
          </w:p>
        </w:tc>
      </w:tr>
    </w:tbl>
    <w:p>
      <w:pPr>
        <w:pStyle w:val="2"/>
        <w:bidi w:val="0"/>
        <w:rPr>
          <w:rFonts w:hint="eastAsia" w:hAnsi="宋体" w:eastAsia="宋体" w:cs="宋体" w:asciiTheme="minorAscii"/>
          <w:sz w:val="24"/>
          <w:szCs w:val="24"/>
        </w:rPr>
      </w:pPr>
    </w:p>
    <w:p>
      <w:pPr>
        <w:rPr>
          <w:rFonts w:hint="eastAsia" w:hAnsi="宋体" w:eastAsia="宋体" w:cs="宋体" w:asciiTheme="minorAscii"/>
          <w:sz w:val="24"/>
          <w:szCs w:val="24"/>
        </w:rPr>
      </w:pPr>
    </w:p>
    <w:p>
      <w:pPr>
        <w:rPr>
          <w:rFonts w:hint="eastAsia" w:hAnsi="宋体" w:eastAsia="宋体" w:cs="宋体" w:asciiTheme="minorAscii"/>
          <w:sz w:val="24"/>
          <w:szCs w:val="24"/>
        </w:rPr>
      </w:pPr>
    </w:p>
    <w:p>
      <w:pPr>
        <w:rPr>
          <w:rFonts w:hint="eastAsia" w:hAnsi="宋体" w:eastAsia="宋体" w:cs="宋体" w:asciiTheme="minorAscii"/>
          <w:sz w:val="24"/>
          <w:szCs w:val="24"/>
        </w:rPr>
      </w:pPr>
    </w:p>
    <w:p>
      <w:pPr>
        <w:rPr>
          <w:rFonts w:hint="eastAsia" w:hAnsi="宋体" w:eastAsia="宋体" w:cs="宋体" w:asciiTheme="minorAscii"/>
          <w:sz w:val="24"/>
          <w:szCs w:val="24"/>
        </w:rPr>
      </w:pPr>
    </w:p>
    <w:p>
      <w:pPr>
        <w:rPr>
          <w:rFonts w:hint="eastAsia" w:hAnsi="宋体" w:eastAsia="宋体" w:cs="宋体" w:asciiTheme="minorAscii"/>
          <w:sz w:val="24"/>
          <w:szCs w:val="24"/>
        </w:rPr>
      </w:pPr>
    </w:p>
    <w:p>
      <w:pPr>
        <w:rPr>
          <w:rFonts w:hint="eastAsia" w:hAnsi="宋体" w:eastAsia="宋体" w:cs="宋体" w:asciiTheme="minorAscii"/>
          <w:sz w:val="24"/>
          <w:szCs w:val="24"/>
        </w:rPr>
      </w:pPr>
    </w:p>
    <w:p>
      <w:pPr>
        <w:jc w:val="center"/>
        <w:rPr>
          <w:color w:val="548DD4"/>
          <w:sz w:val="52"/>
          <w:szCs w:val="52"/>
        </w:rPr>
      </w:pPr>
    </w:p>
    <w:p>
      <w:pPr>
        <w:jc w:val="center"/>
        <w:rPr>
          <w:color w:val="548DD4"/>
          <w:sz w:val="52"/>
          <w:szCs w:val="52"/>
        </w:rPr>
      </w:pPr>
    </w:p>
    <w:p>
      <w:pPr>
        <w:bidi w:val="0"/>
        <w:jc w:val="center"/>
        <w:rPr>
          <w:color w:val="9DC3E6" w:themeColor="accent1" w:themeTint="99"/>
          <w:sz w:val="52"/>
          <w:szCs w:val="52"/>
          <w14:textFill>
            <w14:solidFill>
              <w14:schemeClr w14:val="accent1">
                <w14:lumMod w14:val="60000"/>
                <w14:lumOff w14:val="40000"/>
              </w14:schemeClr>
            </w14:solidFill>
          </w14:textFill>
        </w:rPr>
      </w:pPr>
      <w:r>
        <w:rPr>
          <w:rFonts w:hint="eastAsia"/>
          <w:color w:val="9DC3E6" w:themeColor="accent1" w:themeTint="99"/>
          <w:sz w:val="52"/>
          <w:szCs w:val="52"/>
          <w14:textFill>
            <w14:solidFill>
              <w14:schemeClr w14:val="accent1">
                <w14:lumMod w14:val="60000"/>
                <w14:lumOff w14:val="40000"/>
              </w14:schemeClr>
            </w14:solidFill>
          </w14:textFill>
        </w:rPr>
        <w:t>携手共同发展，共创未来！</w:t>
      </w:r>
    </w:p>
    <w:p>
      <w:pPr>
        <w:bidi w:val="0"/>
      </w:pPr>
    </w:p>
    <w:p>
      <w:pPr>
        <w:bidi w:val="0"/>
      </w:pPr>
    </w:p>
    <w:p>
      <w:pPr>
        <w:bidi w:val="0"/>
      </w:pPr>
      <w:r>
        <w:drawing>
          <wp:anchor distT="0" distB="0" distL="114300" distR="114300" simplePos="0" relativeHeight="251661312" behindDoc="0" locked="0" layoutInCell="1" allowOverlap="1">
            <wp:simplePos x="0" y="0"/>
            <wp:positionH relativeFrom="column">
              <wp:posOffset>1035050</wp:posOffset>
            </wp:positionH>
            <wp:positionV relativeFrom="paragraph">
              <wp:posOffset>69850</wp:posOffset>
            </wp:positionV>
            <wp:extent cx="3848100" cy="2724150"/>
            <wp:effectExtent l="0" t="0" r="0" b="0"/>
            <wp:wrapSquare wrapText="bothSides"/>
            <wp:docPr id="79" name="图片 79" descr="QQ图片2016050417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QQ图片20160504172424"/>
                    <pic:cNvPicPr>
                      <a:picLocks noChangeAspect="1" noChangeArrowheads="1"/>
                    </pic:cNvPicPr>
                  </pic:nvPicPr>
                  <pic:blipFill>
                    <a:blip r:embed="rId9" cstate="print"/>
                    <a:srcRect/>
                    <a:stretch>
                      <a:fillRect/>
                    </a:stretch>
                  </pic:blipFill>
                  <pic:spPr>
                    <a:xfrm>
                      <a:off x="0" y="0"/>
                      <a:ext cx="3848100" cy="2724150"/>
                    </a:xfrm>
                    <a:prstGeom prst="rect">
                      <a:avLst/>
                    </a:prstGeom>
                    <a:noFill/>
                    <a:ln w="9525" cmpd="sng">
                      <a:noFill/>
                      <a:miter lim="800000"/>
                      <a:headEnd/>
                      <a:tailEnd/>
                    </a:ln>
                  </pic:spPr>
                </pic:pic>
              </a:graphicData>
            </a:graphic>
          </wp:anchor>
        </w:drawing>
      </w: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center"/>
        <w:rPr>
          <w:rFonts w:hint="eastAsia"/>
        </w:rPr>
      </w:pPr>
    </w:p>
    <w:p>
      <w:pPr>
        <w:bidi w:val="0"/>
        <w:jc w:val="center"/>
        <w:rPr>
          <w:color w:val="9DC3E6" w:themeColor="accent1" w:themeTint="99"/>
          <w14:textFill>
            <w14:solidFill>
              <w14:schemeClr w14:val="accent1">
                <w14:lumMod w14:val="60000"/>
                <w14:lumOff w14:val="40000"/>
              </w14:schemeClr>
            </w14:solidFill>
          </w14:textFill>
        </w:rPr>
      </w:pPr>
      <w:r>
        <w:rPr>
          <w:rFonts w:hint="eastAsia"/>
          <w:color w:val="9DC3E6" w:themeColor="accent1" w:themeTint="99"/>
          <w14:textFill>
            <w14:solidFill>
              <w14:schemeClr w14:val="accent1">
                <w14:lumMod w14:val="60000"/>
                <w14:lumOff w14:val="40000"/>
              </w14:schemeClr>
            </w14:solidFill>
          </w14:textFill>
        </w:rPr>
        <w:t>山东省烟台市莱山区滨海工业园海霸路18号</w:t>
      </w:r>
    </w:p>
    <w:p>
      <w:pPr>
        <w:bidi w:val="0"/>
        <w:jc w:val="center"/>
        <w:rPr>
          <w:color w:val="9DC3E6" w:themeColor="accent1" w:themeTint="99"/>
          <w14:textFill>
            <w14:solidFill>
              <w14:schemeClr w14:val="accent1">
                <w14:lumMod w14:val="60000"/>
                <w14:lumOff w14:val="40000"/>
              </w14:schemeClr>
            </w14:solidFill>
          </w14:textFill>
        </w:rPr>
      </w:pPr>
    </w:p>
    <w:p>
      <w:pPr>
        <w:bidi w:val="0"/>
        <w:jc w:val="center"/>
        <w:rPr>
          <w:color w:val="9DC3E6" w:themeColor="accent1" w:themeTint="99"/>
          <w14:textFill>
            <w14:solidFill>
              <w14:schemeClr w14:val="accent1">
                <w14:lumMod w14:val="60000"/>
                <w14:lumOff w14:val="40000"/>
              </w14:schemeClr>
            </w14:solidFill>
          </w14:textFill>
        </w:rPr>
      </w:pPr>
    </w:p>
    <w:p>
      <w:pPr>
        <w:bidi w:val="0"/>
        <w:jc w:val="center"/>
        <w:rPr>
          <w:color w:val="9DC3E6" w:themeColor="accent1" w:themeTint="99"/>
          <w14:textFill>
            <w14:solidFill>
              <w14:schemeClr w14:val="accent1">
                <w14:lumMod w14:val="60000"/>
                <w14:lumOff w14:val="40000"/>
              </w14:schemeClr>
            </w14:solidFill>
          </w14:textFill>
        </w:rPr>
      </w:pPr>
    </w:p>
    <w:p>
      <w:pPr>
        <w:bidi w:val="0"/>
        <w:jc w:val="center"/>
        <w:rPr>
          <w:color w:val="9DC3E6" w:themeColor="accent1" w:themeTint="99"/>
          <w14:textFill>
            <w14:solidFill>
              <w14:schemeClr w14:val="accent1">
                <w14:lumMod w14:val="60000"/>
                <w14:lumOff w14:val="40000"/>
              </w14:schemeClr>
            </w14:solidFill>
          </w14:textFill>
        </w:rPr>
      </w:pPr>
    </w:p>
    <w:p>
      <w:pPr>
        <w:bidi w:val="0"/>
        <w:jc w:val="both"/>
        <w:rPr>
          <w:rFonts w:hint="eastAsia"/>
          <w:color w:val="9DC3E6" w:themeColor="accent1" w:themeTint="99"/>
          <w14:textFill>
            <w14:solidFill>
              <w14:schemeClr w14:val="accent1">
                <w14:lumMod w14:val="60000"/>
                <w14:lumOff w14:val="40000"/>
              </w14:schemeClr>
            </w14:solidFill>
          </w14:textFill>
        </w:rPr>
      </w:pPr>
    </w:p>
    <w:p>
      <w:pPr>
        <w:bidi w:val="0"/>
        <w:ind w:firstLine="2730" w:firstLineChars="1300"/>
        <w:jc w:val="both"/>
        <w:rPr>
          <w:rFonts w:hint="eastAsia"/>
          <w:color w:val="9DC3E6" w:themeColor="accent1" w:themeTint="99"/>
          <w14:textFill>
            <w14:solidFill>
              <w14:schemeClr w14:val="accent1">
                <w14:lumMod w14:val="60000"/>
                <w14:lumOff w14:val="40000"/>
              </w14:schemeClr>
            </w14:solidFill>
          </w14:textFill>
        </w:rPr>
      </w:pPr>
    </w:p>
    <w:p>
      <w:pPr>
        <w:bidi w:val="0"/>
        <w:ind w:firstLine="2730" w:firstLineChars="1300"/>
        <w:jc w:val="both"/>
        <w:rPr>
          <w:color w:val="9DC3E6" w:themeColor="accent1" w:themeTint="99"/>
          <w14:textFill>
            <w14:solidFill>
              <w14:schemeClr w14:val="accent1">
                <w14:lumMod w14:val="60000"/>
                <w14:lumOff w14:val="40000"/>
              </w14:schemeClr>
            </w14:solidFill>
          </w14:textFill>
        </w:rPr>
      </w:pPr>
      <w:r>
        <w:rPr>
          <w:rFonts w:hint="eastAsia"/>
          <w:color w:val="9DC3E6" w:themeColor="accent1" w:themeTint="99"/>
          <w14:textFill>
            <w14:solidFill>
              <w14:schemeClr w14:val="accent1">
                <w14:lumMod w14:val="60000"/>
                <w14:lumOff w14:val="40000"/>
              </w14:schemeClr>
            </w14:solidFill>
          </w14:textFill>
        </w:rPr>
        <w:t>Tel:0535-6760676</w:t>
      </w:r>
    </w:p>
    <w:p>
      <w:pPr>
        <w:bidi w:val="0"/>
        <w:ind w:firstLine="1470" w:firstLineChars="700"/>
        <w:jc w:val="both"/>
        <w:rPr>
          <w:rFonts w:hint="eastAsia"/>
          <w:color w:val="9DC3E6" w:themeColor="accent1" w:themeTint="99"/>
          <w14:textFill>
            <w14:solidFill>
              <w14:schemeClr w14:val="accent1">
                <w14:lumMod w14:val="60000"/>
                <w14:lumOff w14:val="40000"/>
              </w14:schemeClr>
            </w14:solidFill>
          </w14:textFill>
        </w:rPr>
      </w:pPr>
    </w:p>
    <w:p>
      <w:pPr>
        <w:bidi w:val="0"/>
        <w:ind w:firstLine="2730" w:firstLineChars="1300"/>
        <w:jc w:val="both"/>
        <w:rPr>
          <w:color w:val="9DC3E6" w:themeColor="accent1" w:themeTint="99"/>
          <w14:textFill>
            <w14:solidFill>
              <w14:schemeClr w14:val="accent1">
                <w14:lumMod w14:val="60000"/>
                <w14:lumOff w14:val="40000"/>
              </w14:schemeClr>
            </w14:solidFill>
          </w14:textFill>
        </w:rPr>
      </w:pPr>
      <w:r>
        <w:rPr>
          <w:rFonts w:hint="eastAsia"/>
          <w:color w:val="9DC3E6" w:themeColor="accent1" w:themeTint="99"/>
          <w14:textFill>
            <w14:solidFill>
              <w14:schemeClr w14:val="accent1">
                <w14:lumMod w14:val="60000"/>
                <w14:lumOff w14:val="40000"/>
              </w14:schemeClr>
            </w14:solidFill>
          </w14:textFill>
        </w:rPr>
        <w:t>Fax:0535-6760676-111</w:t>
      </w:r>
    </w:p>
    <w:p>
      <w:pPr>
        <w:bidi w:val="0"/>
        <w:jc w:val="center"/>
        <w:rPr>
          <w:rFonts w:hint="eastAsia"/>
          <w:color w:val="9DC3E6" w:themeColor="accent1" w:themeTint="99"/>
          <w14:textFill>
            <w14:solidFill>
              <w14:schemeClr w14:val="accent1">
                <w14:lumMod w14:val="60000"/>
                <w14:lumOff w14:val="40000"/>
              </w14:schemeClr>
            </w14:solidFill>
          </w14:textFill>
        </w:rPr>
      </w:pPr>
    </w:p>
    <w:p>
      <w:pPr>
        <w:bidi w:val="0"/>
        <w:ind w:firstLine="2730" w:firstLineChars="1300"/>
        <w:jc w:val="both"/>
        <w:rPr>
          <w:color w:val="9DC3E6" w:themeColor="accent1" w:themeTint="99"/>
          <w14:textFill>
            <w14:solidFill>
              <w14:schemeClr w14:val="accent1">
                <w14:lumMod w14:val="60000"/>
                <w14:lumOff w14:val="40000"/>
              </w14:schemeClr>
            </w14:solidFill>
          </w14:textFill>
        </w:rPr>
      </w:pPr>
      <w:r>
        <w:rPr>
          <w:rFonts w:hint="eastAsia"/>
          <w:color w:val="9DC3E6" w:themeColor="accent1" w:themeTint="99"/>
          <w14:textFill>
            <w14:solidFill>
              <w14:schemeClr w14:val="accent1">
                <w14:lumMod w14:val="60000"/>
                <w14:lumOff w14:val="40000"/>
              </w14:schemeClr>
            </w14:solidFill>
          </w14:textFill>
        </w:rPr>
        <w:t>E-mail:hopetek@hopetek.net</w:t>
      </w:r>
    </w:p>
    <w:p>
      <w:pPr>
        <w:bidi w:val="0"/>
        <w:jc w:val="center"/>
        <w:rPr>
          <w:rFonts w:hint="eastAsia"/>
          <w:color w:val="9DC3E6" w:themeColor="accent1" w:themeTint="99"/>
          <w14:textFill>
            <w14:solidFill>
              <w14:schemeClr w14:val="accent1">
                <w14:lumMod w14:val="60000"/>
                <w14:lumOff w14:val="40000"/>
              </w14:schemeClr>
            </w14:solidFill>
          </w14:textFill>
        </w:rPr>
      </w:pPr>
    </w:p>
    <w:p>
      <w:pPr>
        <w:bidi w:val="0"/>
        <w:ind w:firstLine="2730" w:firstLineChars="1300"/>
        <w:jc w:val="both"/>
        <w:rPr>
          <w:rFonts w:hint="eastAsia" w:hAnsi="宋体" w:eastAsia="宋体" w:cs="宋体" w:asciiTheme="minorAscii"/>
          <w:color w:val="9DC3E6" w:themeColor="accent1" w:themeTint="99"/>
          <w:sz w:val="24"/>
          <w:szCs w:val="24"/>
          <w14:textFill>
            <w14:solidFill>
              <w14:schemeClr w14:val="accent1">
                <w14:lumMod w14:val="60000"/>
                <w14:lumOff w14:val="40000"/>
              </w14:schemeClr>
            </w14:solidFill>
          </w14:textFill>
        </w:rPr>
      </w:pPr>
      <w:r>
        <w:rPr>
          <w:rFonts w:hint="eastAsia"/>
          <w:color w:val="9DC3E6" w:themeColor="accent1" w:themeTint="99"/>
          <w14:textFill>
            <w14:solidFill>
              <w14:schemeClr w14:val="accent1">
                <w14:lumMod w14:val="60000"/>
                <w14:lumOff w14:val="40000"/>
              </w14:schemeClr>
            </w14:solidFill>
          </w14:textFill>
        </w:rPr>
        <w:t>http://www.hopetek.net</w:t>
      </w:r>
    </w:p>
    <w:sectPr>
      <w:headerReference r:id="rId3" w:type="default"/>
      <w:footerReference r:id="rId4" w:type="default"/>
      <w:pgSz w:w="11906" w:h="16838"/>
      <w:pgMar w:top="1213" w:right="952" w:bottom="1213" w:left="129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cott">
    <w:panose1 w:val="020B72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一</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一</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pBdr>
        <w:bottom w:val="single" w:color="auto" w:sz="4" w:space="0"/>
      </w:pBdr>
      <w:jc w:val="left"/>
      <w:rPr>
        <w:u w:val="thick"/>
      </w:rPr>
    </w:pPr>
    <w:r>
      <w:rPr>
        <w:rFonts w:ascii="Scott" w:hAnsi="Scott" w:eastAsia="Scott" w:cs="Scott"/>
        <w:b/>
        <w:color w:val="F79646"/>
        <w:kern w:val="0"/>
        <w:sz w:val="52"/>
        <w:szCs w:val="52"/>
        <w:lang w:val="en-US" w:eastAsia="zh-CN" w:bidi="ar"/>
      </w:rPr>
      <w:t xml:space="preserve">HOPETEK </w:t>
    </w:r>
    <w:r>
      <w:rPr>
        <w:rFonts w:hint="eastAsia" w:ascii="Scott" w:hAnsi="Scott" w:eastAsia="Scott" w:cs="Scott"/>
        <w:b/>
        <w:color w:val="F79646"/>
        <w:kern w:val="0"/>
        <w:sz w:val="52"/>
        <w:szCs w:val="52"/>
        <w:lang w:val="en-US" w:eastAsia="zh-CN" w:bidi="ar"/>
      </w:rPr>
      <w:t xml:space="preserve">        </w:t>
    </w:r>
    <w:r>
      <w:rPr>
        <w:rFonts w:hint="eastAsia" w:ascii="宋体" w:hAnsi="宋体" w:eastAsia="宋体" w:cs="宋体"/>
        <w:b/>
        <w:color w:val="F79646"/>
        <w:kern w:val="0"/>
        <w:sz w:val="24"/>
        <w:szCs w:val="24"/>
        <w:lang w:val="en-US" w:eastAsia="zh-CN" w:bidi="ar"/>
      </w:rPr>
      <w:t>YANTAI HOPETEK ELECTRONIC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14A67"/>
    <w:rsid w:val="04F22D03"/>
    <w:rsid w:val="09A643AA"/>
    <w:rsid w:val="0D6C1FA1"/>
    <w:rsid w:val="0E474BAC"/>
    <w:rsid w:val="10D54FB2"/>
    <w:rsid w:val="11C02305"/>
    <w:rsid w:val="176C0A62"/>
    <w:rsid w:val="18890D8A"/>
    <w:rsid w:val="18EC3B67"/>
    <w:rsid w:val="19DC2C54"/>
    <w:rsid w:val="1B1C4E49"/>
    <w:rsid w:val="1CEE61F8"/>
    <w:rsid w:val="1D8202D1"/>
    <w:rsid w:val="27B0666A"/>
    <w:rsid w:val="284C48F5"/>
    <w:rsid w:val="291F67FB"/>
    <w:rsid w:val="2AA31C7D"/>
    <w:rsid w:val="2EC75B62"/>
    <w:rsid w:val="31D540CD"/>
    <w:rsid w:val="33514A67"/>
    <w:rsid w:val="33CC3F9D"/>
    <w:rsid w:val="35031DF4"/>
    <w:rsid w:val="3A0C3E90"/>
    <w:rsid w:val="3A7425DA"/>
    <w:rsid w:val="3B9567A6"/>
    <w:rsid w:val="3BC82FD2"/>
    <w:rsid w:val="3C95362F"/>
    <w:rsid w:val="3CC828C3"/>
    <w:rsid w:val="3FC31D38"/>
    <w:rsid w:val="438761EA"/>
    <w:rsid w:val="477D009F"/>
    <w:rsid w:val="4AFC1A18"/>
    <w:rsid w:val="52EC14B3"/>
    <w:rsid w:val="59FC56EC"/>
    <w:rsid w:val="5AEA3F85"/>
    <w:rsid w:val="5B1567DB"/>
    <w:rsid w:val="5BDE13F9"/>
    <w:rsid w:val="5CE863C3"/>
    <w:rsid w:val="5E057DB4"/>
    <w:rsid w:val="5EF84D8D"/>
    <w:rsid w:val="61661AF9"/>
    <w:rsid w:val="61C4013F"/>
    <w:rsid w:val="637F19E8"/>
    <w:rsid w:val="63A441D1"/>
    <w:rsid w:val="67886AB4"/>
    <w:rsid w:val="68E67741"/>
    <w:rsid w:val="69A32554"/>
    <w:rsid w:val="69B81764"/>
    <w:rsid w:val="6CD12EE4"/>
    <w:rsid w:val="6D17552A"/>
    <w:rsid w:val="6D963DC7"/>
    <w:rsid w:val="6EE844F3"/>
    <w:rsid w:val="74106E39"/>
    <w:rsid w:val="75C941CD"/>
    <w:rsid w:val="761331AE"/>
    <w:rsid w:val="77B90ADF"/>
    <w:rsid w:val="782A76C0"/>
    <w:rsid w:val="79E0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2021-01-07T03:00:00Z</dcterms:created>
  <dc:creator>Administrator</dc:creator>
  <cp:lastModifiedBy>Administrator</cp:lastModifiedBy>
  <cp:lastPrinted>2021-01-29T00:29:00Z</cp:lastPrinted>
  <dcterms:modified xsi:type="dcterms:W3CDTF">2021-10-21T07:57:26Z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840F529CAE2F44629B1707BAA01E1FCD</vt:lpwstr>
  </property>
</Properties>
</file>